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discard information about known initial states under correlated measurement error. For deterministic ODEs observed with stationary Ornstein–Uhlenbeck noise, we identify their closed adjoint influence class and sharp nuisance-adjusted information bound. The restriction raises the local RMSE reference by 29% for Van der Pol and almost doubles it for Lorenz. For polynomial libraries satisfying a nonzero trajectory-jet condition, we construct a feasible full-library estimator with smoothed-data instruments, vanishing regularization and bounded output. Pilot rank, covariance-weight consistency and uniform integrability are derived; the estimator attains finite-span covariance and reaches the weak-class bound in sequential small-noise and dense-span limits. Exact symbolic calculation verifies the condition for the eighteen-coefficient Van der Pol library. Known-initial traces restore the full closed influence class. This established adaptation, due to Brunel and coauthors, recovers about 97% and 95% of the empirical small-noise gaps in Van der Pol and Lorenz. Matched covariance benchmarks support constructive attainability while showing excess risk and incomplete boundary recovery at moderate noise.</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Known initial states also permit a remedy. Initial-trace conditions are established in orthogonality estimation</w:t>
      </w:r>
      <w:r>
        <w:t xml:space="preserve"> </w:t>
      </w:r>
      <w:r>
        <w:t xml:space="preserve">[1]</w:t>
      </w:r>
      <w:r>
        <w:t xml:space="preserve">. We characterize their complete local influence class, quantify finite-family recovery under physical temporal correlation, and distinguish their contribution from an initial-noise control. The control reveals a correlated error whose covariance with interior moments can reduce variance. The ablation determines its practical contribution rather than presuming it drives recovery.</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Optimal estimating equations and their sandwich information are classical</w:t>
      </w:r>
      <w:r>
        <w:t xml:space="preserve"> </w:t>
      </w:r>
      <w:r>
        <w:t xml:space="preserve">[10]</w:t>
      </w:r>
      <w:r>
        <w:t xml:space="preserve">. Efficient scores remove nuisance-score directions by orthogonal projection</w:t>
      </w:r>
      <w:r>
        <w:t xml:space="preserve"> </w:t>
      </w:r>
      <w:r>
        <w:t xml:space="preserve">[11, 12]</w:t>
      </w:r>
      <w:r>
        <w:t xml:space="preserve">; the initial-state Schur complement is the finite-dimensional instance here. Continuous-time BLUE and endpoint-weighted estimation likewise precede weak ODE analysis</w:t>
      </w:r>
      <w:r>
        <w:t xml:space="preserve"> </w:t>
      </w:r>
      <w:r>
        <w:t xml:space="preserve">[13, 14]</w:t>
      </w:r>
      <w:r>
        <w:t xml:space="preserve">. Our contribution identifies the adjoint range of the restricted weak class and quantifies its cost and recovery in this dynamical experiment.</w:t>
      </w:r>
    </w:p>
    <w:p>
      <w:pPr>
        <w:pStyle w:val="BodyText"/>
      </w:pPr>
      <w:r>
        <w:t xml:space="preserve">The continuum-data theory of WSINDy studies uncorrelated measurement errors and library-dependent consistency</w:t>
      </w:r>
      <w:r>
        <w:t xml:space="preserve"> </w:t>
      </w:r>
      <w:r>
        <w:t xml:space="preserve">[15]</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paper has three contributions: exact boundary-free and known-initial adjoint-range characterizations; a constructive efficient full-library estimator under a checkable jet condition, verified exactly for Van der Pol (Theorem 3); and quantitative correlated-noise benchmarks separating information cost, established boundary recovery and prespecified testing. Polynomial Hermite covariance supplies the feasible weights. Independent-record GMM, fission and cross-fitting are preserved in a separate research archive.</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[16]</w:t>
      </w:r>
      <w:r>
        <w:t xml:space="preserve">, nonparametric gradient matching</w:t>
      </w:r>
      <w:r>
        <w:t xml:space="preserve"> </w:t>
      </w:r>
      <w:r>
        <w:t xml:space="preserve">[17]</w:t>
      </w:r>
      <w:r>
        <w:t xml:space="preserve">, measurement-error regression</w:t>
      </w:r>
      <w:r>
        <w:t xml:space="preserve"> </w:t>
      </w:r>
      <w:r>
        <w:t xml:space="preserve">[18]</w:t>
      </w:r>
      <w:r>
        <w:t xml:space="preserve">, smooth-and-match estimation</w:t>
      </w:r>
      <w:r>
        <w:t xml:space="preserve"> </w:t>
      </w:r>
      <w:r>
        <w:t xml:space="preserve">[19]</w:t>
      </w:r>
      <w:r>
        <w:t xml:space="preserve">, and direct integral estimation</w:t>
      </w:r>
      <w:r>
        <w:t xml:space="preserve"> </w:t>
      </w:r>
      <w:r>
        <w:t xml:space="preserve">[20]</w:t>
      </w:r>
      <w:r>
        <w:t xml:space="preserve">. Generalized profiling can be efficient under its approximation and independent-sampling assumptions</w:t>
      </w:r>
      <w:r>
        <w:t xml:space="preserve"> </w:t>
      </w:r>
      <w:r>
        <w:t xml:space="preserve">[21, 22]</w:t>
      </w:r>
      <w:r>
        <w:t xml:space="preserve">; one-step likelihood refinement of an ODE pilot is also established</w:t>
      </w:r>
      <w:r>
        <w:t xml:space="preserve"> </w:t>
      </w:r>
      <w:r>
        <w:t xml:space="preserve">[23]</w:t>
      </w:r>
      <w:r>
        <w:t xml:space="preserve">. These provide full-observation references. Our question is the information attainable by restricted weak equations under physical temporal correlation.</w:t>
      </w:r>
    </w:p>
    <w:p>
      <w:pPr>
        <w:pStyle w:val="BodyText"/>
      </w:pPr>
      <w:r>
        <w:t xml:space="preserve">WENDy treats weak parameter estimation as an errors-in-variables problem, retaining coupled feature and response perturbations and iteratively updating their linearized covariance</w:t>
      </w:r>
      <w:r>
        <w:t xml:space="preserve"> </w:t>
      </w:r>
      <w:r>
        <w:t xml:space="preserve">[24]</w:t>
      </w:r>
      <w:r>
        <w:t xml:space="preserve">. WENDy-MLE uses an approximate Gaussian weak-residual likelihood with parameter-dependent covariance and analytic derivatives</w:t>
      </w:r>
      <w:r>
        <w:t xml:space="preserve"> </w:t>
      </w:r>
      <w:r>
        <w:t xml:space="preserve">[25]</w:t>
      </w:r>
      <w:r>
        <w:t xml:space="preserve">. Its log determinant and covariance-derivative terms distinguish its finite-noise objective from frozen-weight GLS. Polynomial Hermite correction and exact residual covariance here extend that coupled calculation to all Gaussian orders for supplied OU noise. They do not alone correct the nonlinear coefficient estimator. Gaussian correction of noisy polynomial features has classical precedents</w:t>
      </w:r>
      <w:r>
        <w:t xml:space="preserve"> </w:t>
      </w:r>
      <w:r>
        <w:t xml:space="preserve">[26, 27]</w:t>
      </w:r>
      <w:r>
        <w:t xml:space="preserve">, and WENDy finite-noise bias and uncertainty remain active topics</w:t>
      </w:r>
      <w:r>
        <w:t xml:space="preserve"> </w:t>
      </w:r>
      <w:r>
        <w:t xml:space="preserve">[28]</w:t>
      </w:r>
      <w:r>
        <w:t xml:space="preserve">.</w:t>
      </w:r>
    </w:p>
    <w:p>
      <w:pPr>
        <w:pStyle w:val="BodyText"/>
      </w:pPr>
      <w:r>
        <w:t xml:space="preserve">Test design also has substantial precedents. Tran and Bortz choose local radii through quadrature-error estimates</w:t>
      </w:r>
      <w:r>
        <w:t xml:space="preserve"> </w:t>
      </w:r>
      <w:r>
        <w:t xml:space="preserve">[29]</w:t>
      </w:r>
      <w:r>
        <w:t xml:space="preserve">, while Fourier Weak SINDy selects sinusoidal frequencies spectrally</w:t>
      </w:r>
      <w:r>
        <w:t xml:space="preserve"> </w:t>
      </w:r>
      <w:r>
        <w:t xml:space="preserve">[30]</w:t>
      </w:r>
      <w:r>
        <w:t xml:space="preserve">. WmSINDy combines weak regression with dynamics and noise reconstruction</w:t>
      </w:r>
      <w:r>
        <w:t xml:space="preserve"> </w:t>
      </w:r>
      <w:r>
        <w:t xml:space="preserve">[31]</w:t>
      </w:r>
      <w:r>
        <w:t xml:space="preserve">. Ensemble-SINDy quantifies feature inclusion by bootstrap aggregation</w:t>
      </w:r>
      <w:r>
        <w:t xml:space="preserve"> </w:t>
      </w:r>
      <w:r>
        <w:t xml:space="preserve">[32]</w:t>
      </w:r>
      <w:r>
        <w:t xml:space="preserve">. Our author-method checks preserve their distinct structural inputs and are documented in the research archive. The new class characterization and constructive full-library result complement these methods; the supplied-candidate Wald comparison establishes no general superiority for structure selection.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combine a nonparametric proxy, orthogonality conditions and GMM in an independent-observation, increasing-point experiment, including delay equations. They recognize boundary-information loss and adapt moments to known boundary values. Our deterministic polynomial setting is narrower. It instead treats fixed-horizon physical OU error, identifies the complete adjoint influence classes, gives their sharp initial-state Schur-complement relation and an explicit OU optimal test, and constructs an attainable full-library estimator under a checkable jet condition. The small-noise and sequential dense-span limits differ from increasing-point asymptotics. The results complement each other.</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[33]</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Proposition 3,</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denote composite trapezoidal quadrature with weights</w:t>
      </w:r>
      <w:r>
        <w:t xml:space="preserve"> </w:t>
      </w:r>
      <m:oMath>
        <m:sSub>
          <m:e>
            <m:r>
              <m:t>w</m:t>
            </m:r>
          </m:e>
          <m:sub>
            <m:r>
              <m:t>n</m:t>
            </m:r>
          </m:sub>
        </m:sSub>
      </m:oMath>
      <w:r>
        <w:t xml:space="preserve"> </w:t>
      </w:r>
      <w:r>
        <w:t xml:space="preserve">in the formulas; matched endpoint confirmations use composite Simpson quadrature as specified in their frozen protocols.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Lemma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Exact discrete OU innovations converge to this finite path information under grid refinement. S6.1 gives the scalar calculation and shows why unguarded weak ratios can have infinite error moments despite a finite Gaussian influence variance. Information bounds concern local regular influences; finite-noise estimator risk requires separate control.</w:t>
      </w:r>
    </w:p>
    <w:bookmarkEnd w:id="15"/>
    <w:bookmarkEnd w:id="16"/>
    <w:bookmarkStart w:id="26"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are defined by</w:t>
      </w:r>
      <w:r>
        <w:t xml:space="preserve"> </w:t>
      </w:r>
      <m:oMath>
        <m:sSup>
          <m:e>
            <m:r>
              <m:t>L</m:t>
            </m:r>
          </m:e>
          <m:sup>
            <m:r>
              <m:t>2</m:t>
            </m:r>
          </m:sup>
        </m:sSup>
        <m:r>
          <m:rPr>
            <m:sty m:val="p"/>
          </m:rPr>
          <m:t>(</m:t>
        </m:r>
        <m:r>
          <m:t>P</m:t>
        </m:r>
        <m:r>
          <m:rPr>
            <m:sty m:val="p"/>
          </m:rPr>
          <m:t>)</m:t>
        </m:r>
      </m:oMath>
      <w:r>
        <w:t xml:space="preserve"> </w:t>
      </w:r>
      <w:r>
        <w:t xml:space="preserve">limits of integrated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2 provides an explicit family for the density condition in Proposition 3.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The nuisance-score projection and efficient influence are classical</w:t>
      </w:r>
      <w:r>
        <w:t xml:space="preserve"> </w:t>
      </w:r>
      <w:r>
        <w:t xml:space="preserve">[11, 12]</w:t>
      </w:r>
      <w:r>
        <w:t xml:space="preserve">, as is continuous-record BLUE</w:t>
      </w:r>
      <w:r>
        <w:t xml:space="preserve"> </w:t>
      </w:r>
      <w:r>
        <w:t xml:space="preserve">[13, 14]</w:t>
      </w:r>
      <w:r>
        <w:t xml:space="preserve">. Here the adjoint-range characterization identifies exactly which dynamical weak influences obey that projection.</w:t>
      </w:r>
    </w:p>
    <w:p>
      <w:pPr>
        <w:pStyle w:val="BodyText"/>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p>
      <w:pPr>
        <w:pStyle w:val="BodyText"/>
      </w:pPr>
      <w:r>
        <w:t xml:space="preserve">Known-boundary adaptations have a direct precedent: Brunel et al.</w:t>
      </w:r>
      <w:r>
        <w:t xml:space="preserve"> </w:t>
      </w:r>
      <w:r>
        <w:t xml:space="preserve">[1]</w:t>
      </w:r>
      <w:r>
        <w:t xml:space="preserve"> </w:t>
      </w:r>
      <w:r>
        <w:t xml:space="preserve">allow a nonzero initial test trace when the initial state is known and retain a zero terminal trace. Their construction motivates endpoint-enabled moments. The information comparison above concerns the endpoint-vanishing class; restoring endpoint information changes that class. Recent test construction work also treats numerical integration error as a central design criterion</w:t>
      </w:r>
      <w:r>
        <w:t xml:space="preserve"> </w:t>
      </w:r>
      <w:r>
        <w:t xml:space="preserve">[29]</w:t>
      </w:r>
      <w:r>
        <w:t xml:space="preserve">. An implementation of endpoint-enabled tests therefore needs a separate clean quadrature check before its empirical accuracy can be compared with the known-initial likelihood reference.</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the boundary-free statistical reference. Section 7.2 separately evaluates an endpoint-enabled extension for a known initial state.</w:t>
      </w:r>
    </w:p>
    <w:p>
      <w:pPr>
        <w:pStyle w:val="BodyText"/>
      </w:pPr>
      <w:r>
        <w:t xml:space="preserve">The scalar exponential specialization and fitted-pilot formula are in S6.5. Figure 1 shows how the generalized optimum and its compact cutoff differ near the endpoints.</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[24]</w:t>
      </w:r>
      <w:r>
        <w:t xml:space="preserve">, and physical-OU covariance changes its temporal weights. Under polynomial features Proposition 4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This is the Godambe-information construction for optimally weighted estimating equations</w:t>
      </w:r>
      <w:r>
        <w:t xml:space="preserve"> </w:t>
      </w:r>
      <w:r>
        <w:t xml:space="preserve">[10]</w:t>
      </w:r>
      <w:r>
        <w:t xml:space="preserve">: the local information is</w:t>
      </w:r>
      <w:r>
        <w:t xml:space="preserve"> </w:t>
      </w:r>
      <m:oMath>
        <m:sSup>
          <m:e>
            <m:r>
              <m:t>D</m:t>
            </m:r>
          </m:e>
          <m:sup>
            <m:r>
              <m:rPr>
                <m:sty m:val="p"/>
              </m:rPr>
              <m:t>⊤</m:t>
            </m:r>
          </m:sup>
        </m:sSup>
        <m:sSup>
          <m:e>
            <m:r>
              <m:rPr>
                <m:sty m:val="p"/>
              </m:rPr>
              <m:t>Σ</m:t>
            </m:r>
          </m:e>
          <m:sup>
            <m:r>
              <m:rPr>
                <m:sty m:val="p"/>
              </m:rPr>
              <m:t>−</m:t>
            </m:r>
            <m:r>
              <m:t>1</m:t>
            </m:r>
          </m:sup>
        </m:sSup>
        <m:r>
          <m:t>D</m:t>
        </m:r>
      </m:oMath>
      <w:r>
        <w:t xml:space="preserve">. WENDy-MLE has the same leading small-noise map under regularity and correctly specified covariance; finite-noise covariance-derivative terms distinguish its objective (S6.3).</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known initial state and supplied independent-coordinate OU covariance shape with a known common correlation time. Suppose the true coefficient is interior to a compact final box; clean and nearby pilot trajectories exist in a common bounded region; the clean pilot and final designs have full column rank; and the first-order residual covariance</w:t>
      </w:r>
      <w:r>
        <w:t xml:space="preserve"> </w:t>
      </w:r>
      <m:oMath>
        <m:sSub>
          <m:e>
            <m:r>
              <m:rPr>
                <m:sty m:val="p"/>
              </m:rPr>
              <m:t>Σ</m:t>
            </m:r>
          </m:e>
          <m:sub>
            <m:r>
              <m:t>1</m:t>
            </m:r>
          </m:sub>
        </m:sSub>
      </m:oMath>
      <w:r>
        <w:t xml:space="preserve"> </w:t>
      </w:r>
      <w:r>
        <w:t xml:space="preserve">is positive definite. Quadrature weights have bounded total mass, converge to their integrals, and clean quadrature and pilot-model numerical defects are</w:t>
      </w:r>
      <w:r>
        <w:t xml:space="preserve"> </w:t>
      </w:r>
      <m:oMath>
        <m:r>
          <m:t>o</m:t>
        </m:r>
        <m:r>
          <m:rPr>
            <m:sty m:val="p"/>
          </m:rPr>
          <m:t>(</m:t>
        </m:r>
        <m:r>
          <m:t>ϵ</m:t>
        </m:r>
        <m:r>
          <m:rPr>
            <m:sty m:val="p"/>
          </m:rPr>
          <m:t>)</m:t>
        </m:r>
      </m:oMath>
      <w:r>
        <w:t xml:space="preserve"> </w:t>
      </w:r>
      <w:r>
        <w:t xml:space="preserve">with the local derivative control in (G4) of S7.2.</w:t>
      </w:r>
    </w:p>
    <w:p>
      <w:pPr>
        <w:pStyle w:val="BodyText"/>
      </w:pPr>
      <w:r>
        <w:t xml:space="preserve">Use a declared pilot family containing the true vector field and a pilot box containing its true coefficients. Apply corrected least squares, clip the pilot, evaluate the full Hermite covariance on its integrated trajectory, and apply the vanishing-ridge, guarded and box-projected GLS routine described below. Then its pilot satisfies</w:t>
      </w:r>
      <w:r>
        <w:t xml:space="preserve"> </w:t>
      </w:r>
      <m:oMath>
        <m:acc>
          <m:accPr>
            <m:chr m:val="̃"/>
          </m:accPr>
          <m:e>
            <m:r>
              <m:t>θ</m:t>
            </m:r>
          </m:e>
        </m:acc>
        <m:r>
          <m:rPr>
            <m:sty m:val="p"/>
          </m:rPr>
          <m:t>−</m:t>
        </m:r>
        <m:r>
          <m:t>θ</m:t>
        </m:r>
        <m:r>
          <m:rPr>
            <m:sty m:val="p"/>
          </m:rPr>
          <m:t>=</m:t>
        </m:r>
        <m:sSub>
          <m:e>
            <m:r>
              <m:t>O</m:t>
            </m:r>
          </m:e>
          <m:sub>
            <m:r>
              <m:t>P</m:t>
            </m:r>
          </m:sub>
        </m:sSub>
        <m:r>
          <m:rPr>
            <m:sty m:val="p"/>
          </m:rPr>
          <m:t>(</m:t>
        </m:r>
        <m:r>
          <m:t>ϵ</m:t>
        </m:r>
        <m:r>
          <m:rPr>
            <m:sty m:val="p"/>
          </m:rPr>
          <m:t>)</m:t>
        </m:r>
      </m:oMath>
      <w:r>
        <w:t xml:space="preserve">, its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These conclusions are derived from the stated structural and numerical conditions; an asymptotic expansion, weight consistency and integrability are not assumed. S7.2 proves the proposition. For nested dense families satisfying these conditions separately, the subsequent family limit gives the bound of Theorem 1. Theorem 3 supplies a full-library smoothed-data construction whose clean ranks follow from a jet condition instead of being assumed.</w:t>
      </w:r>
    </w:p>
    <w:p>
      <w:pPr>
        <w:pStyle w:val="BodyText"/>
      </w:pPr>
      <w:r>
        <w:t xml:space="preserve">The archived solvers in Tables 1–6 use fixed relative ridge and an unbounded final estimate. Their local matrix geometry and empirical recovery are separate from the risk guarantee above. For fixed design</w:t>
      </w:r>
      <w:r>
        <w:t xml:space="preserve"> </w:t>
      </w:r>
      <m:oMath>
        <m:r>
          <m:t>D</m:t>
        </m:r>
      </m:oMath>
      <w:r>
        <w:t xml:space="preserve"> </w:t>
      </w:r>
      <w:r>
        <w:t xml:space="preserve">and residual shape</w:t>
      </w:r>
      <w:r>
        <w:t xml:space="preserve"> </w:t>
      </w:r>
      <m:oMath>
        <m:sSub>
          <m:e>
            <m:r>
              <m:rPr>
                <m:sty m:val="p"/>
              </m:rPr>
              <m:t>Σ</m:t>
            </m:r>
          </m:e>
          <m:sub>
            <m:r>
              <m:t>1</m:t>
            </m:r>
          </m:sub>
        </m:sSub>
      </m:oMath>
      <w:r>
        <w:t xml:space="preserve">, their regularized linear map has</w:t>
      </w:r>
    </w:p>
    <w:p>
      <w:pPr>
        <w:pStyle w:val="BodyText"/>
      </w:pPr>
      <m:oMathPara>
        <m:oMathParaPr>
          <m:jc m:val="center"/>
        </m:oMathParaPr>
        <m:oMath>
          <m:sSub>
            <m:e>
              <m:r>
                <m:t>W</m:t>
              </m:r>
            </m:e>
            <m:sub>
              <m:r>
                <m:t>ρ</m:t>
              </m:r>
            </m:sub>
          </m:sSub>
          <m:r>
            <m:rPr>
              <m:sty m:val="p"/>
            </m:rPr>
            <m:t>=</m:t>
          </m:r>
          <m:r>
            <m:rPr>
              <m:sty m:val="p"/>
            </m:rPr>
            <m:t>[</m:t>
          </m:r>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Here</w:t>
      </w:r>
      <w:r>
        <w:t xml:space="preserve"> </w:t>
      </w:r>
      <m:oMath>
        <m:r>
          <m:t>q</m:t>
        </m:r>
      </m:oMath>
      <w:r>
        <w:t xml:space="preserve"> </w:t>
      </w:r>
      <w:r>
        <w:t xml:space="preserve">is the number of moments, and</w:t>
      </w:r>
      <w:r>
        <w:t xml:space="preserve"> </w:t>
      </w:r>
      <m:oMath>
        <m:sSub>
          <m:e>
            <m:r>
              <m:t>V</m:t>
            </m:r>
          </m:e>
          <m:sub>
            <m:r>
              <m:t>0</m:t>
            </m:r>
          </m:sub>
        </m:sSub>
      </m:oMath>
      <w:r>
        <w:t xml:space="preserve"> </w:t>
      </w:r>
      <w:r>
        <w:t xml:space="preserve">is ideal GLS covariance. The exact identity</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ridge cost without any estimator-limit assumption. On eight actual 480-interior-window archived spans and their endpoint/control extensions, including Lorenz, the largest computed relative RMSE increment is</w:t>
      </w:r>
      <w:r>
        <w:t xml:space="preserve"> </w:t>
      </w:r>
      <m:oMath>
        <m:r>
          <m:t>6.7</m:t>
        </m:r>
        <m:r>
          <m:rPr>
            <m:sty m:val="p"/>
          </m:rPr>
          <m:t>×</m:t>
        </m:r>
        <m:sSup>
          <m:e>
            <m:r>
              <m:t>10</m:t>
            </m:r>
          </m:e>
          <m:sup>
            <m:r>
              <m:rPr>
                <m:sty m:val="p"/>
              </m:rPr>
              <m:t>−</m:t>
            </m:r>
            <m:r>
              <m:t>15</m:t>
            </m:r>
          </m:sup>
        </m:sSup>
      </m:oMath>
      <w:r>
        <w:t xml:space="preserve">; S7.3 gives the matrices and checks. Thus the stated ridge has negligible local matrix cost in these examples. This check cannot establish moments of an unbounded nonlinear final estimate. Table S8 separates those archived benchmarks, the constructive estimator and supplied-candidate testing.</w:t>
      </w:r>
    </w:p>
    <w:bookmarkEnd w:id="23"/>
    <w:bookmarkStart w:id="24" w:name="Xfbb74ee3e0a2941862bca93e754f3b2fffb2b85"/>
    <w:p>
      <w:pPr>
        <w:pStyle w:val="Heading3"/>
      </w:pPr>
      <w:r>
        <w:t xml:space="preserve">5.5. Extended class and recovery with a known initial state</w:t>
      </w:r>
    </w:p>
    <w:p>
      <w:pPr>
        <w:pStyle w:val="FirstParagraph"/>
      </w:pPr>
      <w:r>
        <w:t xml:space="preserve">Throughout this subsection,</w:t>
      </w:r>
      <w:r>
        <w:t xml:space="preserve"> </w:t>
      </w:r>
      <m:oMath>
        <m:r>
          <m:t>u</m:t>
        </m:r>
      </m:oMath>
      <w:r>
        <w:t xml:space="preserve"> </w:t>
      </w:r>
      <w:r>
        <w:t xml:space="preserve">is known exactly, covariance is supplied and independent of</w:t>
      </w:r>
      <w:r>
        <w:t xml:space="preserve"> </w:t>
      </w:r>
      <m:oMath>
        <m:r>
          <m:t>θ</m:t>
        </m:r>
      </m:oMath>
      <w:r>
        <w:t xml:space="preserve">,</w:t>
      </w:r>
      <w:r>
        <w:t xml:space="preserve"> </w:t>
      </w:r>
      <m:oMath>
        <m:r>
          <m:t>J</m:t>
        </m:r>
      </m:oMath>
      <w:r>
        <w:t xml:space="preserve"> </w:t>
      </w:r>
      <w:r>
        <w:t xml:space="preserve">is continuous, and</w:t>
      </w:r>
      <w:r>
        <w:t xml:space="preserve"> </w:t>
      </w:r>
      <m:oMath>
        <m:r>
          <m:t>S</m:t>
        </m:r>
      </m:oMath>
      <w:r>
        <w:t xml:space="preserve"> </w:t>
      </w:r>
      <w:r>
        <w:t xml:space="preserve">and</w:t>
      </w:r>
      <w:r>
        <w:t xml:space="preserve"> </w:t>
      </w:r>
      <m:oMath>
        <m:r>
          <m:t>Z</m:t>
        </m:r>
      </m:oMath>
      <w:r>
        <w:t xml:space="preserve"> </w:t>
      </w:r>
      <w:r>
        <w:t xml:space="preserve">belong to the OU Cameron–Martin space</w:t>
      </w:r>
      <w:r>
        <w:t xml:space="preserve"> </w:t>
      </w:r>
      <m:oMath>
        <m:r>
          <m:rPr>
            <m:scr m:val="script"/>
            <m:sty m:val="p"/>
          </m:rPr>
          <m:t>H</m:t>
        </m:r>
      </m:oMath>
      <w:r>
        <w:t xml:space="preserve">. Assume</w:t>
      </w:r>
      <w:r>
        <w:t xml:space="preserve"> </w:t>
      </w:r>
      <m:oMath>
        <m:sSub>
          <m:e>
            <m:r>
              <m:rPr>
                <m:scr m:val="script"/>
                <m:sty m:val="p"/>
              </m:rPr>
              <m:t>I</m:t>
            </m:r>
          </m:e>
          <m:sub>
            <m:r>
              <m:t>θ</m:t>
            </m:r>
            <m:r>
              <m:t>θ</m:t>
            </m:r>
          </m:sub>
        </m:sSub>
      </m:oMath>
      <w:r>
        <w:t xml:space="preserve"> </w:t>
      </w:r>
      <w:r>
        <w:t xml:space="preserve">is positive definite. The coordinate OU scales and correlation times are positive. Consequently</w:t>
      </w:r>
      <w:r>
        <w:t xml:space="preserve"> </w:t>
      </w:r>
      <m:oMath>
        <m:r>
          <m:rPr>
            <m:scr m:val="script"/>
            <m:sty m:val="p"/>
          </m:rPr>
          <m:t>E</m:t>
        </m:r>
      </m:oMath>
      <w:r>
        <w:t xml:space="preserve"> </w:t>
      </w:r>
      <w:r>
        <w:t xml:space="preserve">is the covariance-dual space of vector-valued</w:t>
      </w:r>
      <w:r>
        <w:t xml:space="preserve"> </w:t>
      </w:r>
      <m:oMath>
        <m:sSup>
          <m:e>
            <m:r>
              <m:t>H</m:t>
            </m:r>
          </m:e>
          <m:sup>
            <m:r>
              <m:t>1</m:t>
            </m:r>
          </m:sup>
        </m:sSup>
        <m:r>
          <m:rPr>
            <m:sty m:val="p"/>
          </m:rPr>
          <m:t>(</m:t>
        </m:r>
        <m:r>
          <m:rPr>
            <m:sty m:val="p"/>
          </m:rPr>
          <m:t>[</m:t>
        </m:r>
        <m:r>
          <m:t>0</m:t>
        </m:r>
        <m:r>
          <m:rPr>
            <m:sty m:val="p"/>
          </m:rPr>
          <m:t>,</m:t>
        </m:r>
        <m:r>
          <m:t>T</m:t>
        </m:r>
        <m:r>
          <m:rPr>
            <m:sty m:val="p"/>
          </m:rPr>
          <m:t>]</m:t>
        </m:r>
        <m:r>
          <m:rPr>
            <m:sty m:val="p"/>
          </m:rPr>
          <m:t>)</m:t>
        </m:r>
      </m:oMath>
      <w:r>
        <w:t xml:space="preserve">, with continuous endpoint evaluation. The initial sensitivity is normalized by</w:t>
      </w:r>
      <w:r>
        <w:t xml:space="preserve"> </w:t>
      </w:r>
      <m:oMath>
        <m:r>
          <m:t>Z</m:t>
        </m:r>
        <m:r>
          <m:rPr>
            <m:sty m:val="p"/>
          </m:rPr>
          <m:t>(</m:t>
        </m:r>
        <m:r>
          <m:t>0</m:t>
        </m:r>
        <m:r>
          <m:rPr>
            <m:sty m:val="p"/>
          </m:rPr>
          <m:t>)</m:t>
        </m:r>
        <m:r>
          <m:rPr>
            <m:sty m:val="p"/>
          </m:rPr>
          <m:t>=</m:t>
        </m:r>
        <m:sSub>
          <m:e>
            <m:r>
              <m:t>I</m:t>
            </m:r>
          </m:e>
          <m:sub>
            <m:r>
              <m:t>d</m:t>
            </m:r>
          </m:sub>
        </m:sSub>
      </m:oMath>
      <w:r>
        <w:t xml:space="preserve"> </w:t>
      </w:r>
      <w:r>
        <w:t xml:space="preserve">and the parameter sensitivity satisfies</w:t>
      </w:r>
      <w:r>
        <w:t xml:space="preserve"> </w:t>
      </w:r>
      <m:oMath>
        <m:r>
          <m:t>S</m:t>
        </m:r>
        <m:r>
          <m:rPr>
            <m:sty m:val="p"/>
          </m:rPr>
          <m:t>(</m:t>
        </m:r>
        <m:r>
          <m:t>0</m:t>
        </m:r>
        <m:r>
          <m:rPr>
            <m:sty m:val="p"/>
          </m:rPr>
          <m:t>)</m:t>
        </m:r>
        <m:r>
          <m:rPr>
            <m:sty m:val="p"/>
          </m:rPr>
          <m:t>=</m:t>
        </m:r>
        <m:r>
          <m:t>0</m:t>
        </m:r>
      </m:oMath>
      <w:r>
        <w:t xml:space="preserve">.</w:t>
      </w:r>
    </w:p>
    <w:p>
      <w:pPr>
        <w:pStyle w:val="BodyText"/>
      </w:pPr>
      <w:r>
        <w:t xml:space="preserve">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Its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of the weak identity is established</w:t>
      </w:r>
      <w:r>
        <w:t xml:space="preserve"> </w:t>
      </w:r>
      <w:r>
        <w:t xml:space="preserve">[1]</w:t>
      </w:r>
      <w:r>
        <w:t xml:space="preserve">. The result below specifies its covariance-dual geometry and its relation to the correlated-noise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In contrast, allowing only a terminal trace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Alternatively, adding the initial noise controls to the closed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The sharp normalized influence covariance in either full extended closure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For ordinary tests it is an infimum; an exact smooth-test minimum additionally requires the representative to belong to the specified range. Explicit initial observation controls can realize the initial atom.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 the continuous dual pairing obeys</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first imply</w:t>
      </w:r>
      <w:r>
        <w:t xml:space="preserve"> </w:t>
      </w:r>
      <m:oMath>
        <m:sSup>
          <m:e>
            <m:r>
              <m:t>g</m:t>
            </m:r>
          </m:e>
          <m:sup>
            <m:r>
              <m:rPr>
                <m:sty m:val="p"/>
              </m:rPr>
              <m:t>′</m:t>
            </m:r>
          </m:sup>
        </m:sSup>
        <m:r>
          <m:rPr>
            <m:sty m:val="p"/>
          </m:rPr>
          <m:t>=</m:t>
        </m:r>
        <m:r>
          <m:t>J</m:t>
        </m:r>
        <m:r>
          <m:t>g</m:t>
        </m:r>
      </m:oMath>
      <w:r>
        <w:t xml:space="preserve"> </w:t>
      </w:r>
      <w:r>
        <w:t xml:space="preserve">in the weak sense. Such solutions are</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for tests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Their annihilator is trivial and their closure is</w:t>
      </w:r>
      <w:r>
        <w:t xml:space="preserve"> </w:t>
      </w:r>
      <m:oMath>
        <m:r>
          <m:rPr>
            <m:scr m:val="script"/>
            <m:sty m:val="p"/>
          </m:rPr>
          <m:t>E</m:t>
        </m:r>
      </m:oMath>
      <w:r>
        <w:t xml:space="preserve">. For tests with</w:t>
      </w:r>
      <w:r>
        <w:t xml:space="preserve"> </w:t>
      </w:r>
      <m:oMath>
        <m:r>
          <m:t>ϕ</m:t>
        </m:r>
        <m:r>
          <m:rPr>
            <m:sty m:val="p"/>
          </m:rPr>
          <m:t>(</m:t>
        </m:r>
        <m:r>
          <m:t>0</m:t>
        </m:r>
        <m:r>
          <m:rPr>
            <m:sty m:val="p"/>
          </m:rPr>
          <m:t>)</m:t>
        </m:r>
        <m:r>
          <m:rPr>
            <m:sty m:val="p"/>
          </m:rPr>
          <m:t>=</m:t>
        </m:r>
        <m:r>
          <m:t>0</m:t>
        </m:r>
      </m:oMath>
      <w:r>
        <w:t xml:space="preserve">, every</w:t>
      </w:r>
      <w:r>
        <w:t xml:space="preserve"> </w:t>
      </w:r>
      <m:oMath>
        <m:r>
          <m:t>Z</m:t>
        </m:r>
        <m:r>
          <m:t>c</m:t>
        </m:r>
      </m:oMath>
      <w:r>
        <w:t xml:space="preserve"> </w:t>
      </w:r>
      <w:r>
        <w:t xml:space="preserve">annihilates the range and there are no further annihilators. Its closure is therefore</w:t>
      </w:r>
      <w:r>
        <w:t xml:space="preserve"> </w:t>
      </w:r>
      <m:oMath>
        <m:r>
          <m:rPr>
            <m:scr m:val="script"/>
            <m:sty m:val="p"/>
          </m:rPr>
          <m:t>M</m:t>
        </m:r>
      </m:oMath>
      <w:r>
        <w:t xml:space="preserve">, as characterized in Theorem 1.</w:t>
      </w:r>
    </w:p>
    <w:p>
      <w:pPr>
        <w:pStyle w:val="BodyText"/>
      </w:pPr>
      <w:r>
        <w:t xml:space="preserve">For any</w:t>
      </w:r>
      <w:r>
        <w:t xml:space="preserve"> </w:t>
      </w:r>
      <m:oMath>
        <m:r>
          <m:t>λ</m:t>
        </m:r>
        <m:r>
          <m:rPr>
            <m:sty m:val="p"/>
          </m:rPr>
          <m:t>∈</m:t>
        </m:r>
        <m:r>
          <m:rPr>
            <m:scr m:val="script"/>
            <m:sty m:val="p"/>
          </m:rPr>
          <m:t>E</m:t>
        </m:r>
      </m:oMath>
      <w:r>
        <w:t xml:space="preserve">, 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Continuity of this pairing follows from</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initial-sensitivity column and belongs to</w:t>
      </w:r>
      <w:r>
        <w:t xml:space="preserve"> </w:t>
      </w:r>
      <m:oMath>
        <m:r>
          <m:rPr>
            <m:scr m:val="script"/>
            <m:sty m:val="p"/>
          </m:rPr>
          <m:t>M</m:t>
        </m:r>
      </m:oMath>
      <w:r>
        <w:t xml:space="preserve">. This proves the exact sum identity. For covariance optimality,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has a covariance-orthogonal remainder, giving a positive-semidefinite covariance increment. Density, continuous pairing with</w:t>
      </w:r>
      <w:r>
        <w:t xml:space="preserve"> </w:t>
      </w:r>
      <m:oMath>
        <m:r>
          <m:t>S</m:t>
        </m:r>
      </m:oMath>
      <w:r>
        <w:t xml:space="preserve"> </w:t>
      </w:r>
      <w:r>
        <w:t xml:space="preserve">and normalization by the convergent sensitivity matrix give attainability as an infimum, by the same approximation argument as Theorem 1.</w:t>
      </w:r>
      <w:r>
        <w:t xml:space="preserve"> </w:t>
      </w:r>
      <m:oMath>
        <m:r>
          <m:rPr>
            <m:sty m:val="p"/>
          </m:rPr>
          <m:t>▫</m:t>
        </m:r>
      </m:oMath>
    </w:p>
    <w:p>
      <w:pPr>
        <w:pStyle w:val="BodyText"/>
      </w:pPr>
      <w:r>
        <w:t xml:space="preserve">Correct-covariance GLS on dense universal extended spans approaches this bound under the sequential small-noise conditions of Proposition 3, with the full rather than nuisance-adjusted information. The theorem concerns the closed local influence class; performance of finite families and finite-noise covariance pilots requires numerical assessment. In particular, finite-span gains of different endpoint additions can overlap.</w:t>
      </w:r>
    </w:p>
    <w:p>
      <w:pPr>
        <w:pStyle w:val="BodyText"/>
      </w:pPr>
      <w:r>
        <w:t xml:space="preserve">For compact tests, let</w:t>
      </w:r>
      <w:r>
        <w:t xml:space="preserve"> </w:t>
      </w:r>
      <m:oMath>
        <m:r>
          <m:rPr>
            <m:sty m:val="p"/>
          </m:rPr>
          <m:t>Ω</m:t>
        </m:r>
      </m:oMath>
      <w:r>
        <w:t xml:space="preserve"> </w:t>
      </w:r>
      <w:r>
        <w:t xml:space="preserve">be the exact Hermite residual covariance,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t>B</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t>B</m:t>
          </m:r>
          <m:sSubSup>
            <m:e>
              <m:r>
                <m:rPr>
                  <m:sty m:val="p"/>
                </m:rPr>
                <m:t>Σ</m:t>
              </m:r>
            </m:e>
            <m:sub>
              <m:r>
                <m:t>0</m:t>
              </m:r>
            </m:sub>
            <m:sup>
              <m:r>
                <m:rPr>
                  <m:sty m:val="p"/>
                </m:rPr>
                <m:t>−</m:t>
              </m:r>
              <m:r>
                <m:t>1</m:t>
              </m:r>
            </m:sup>
          </m:sSubSup>
          <m:sSup>
            <m:e>
              <m:r>
                <m:t>B</m:t>
              </m:r>
            </m:e>
            <m:sup>
              <m:r>
                <m:t>T</m:t>
              </m:r>
            </m:sup>
          </m:sSup>
          <m:r>
            <m:rPr>
              <m:sty m:val="p"/>
            </m:rPr>
            <m:t>.</m:t>
          </m:r>
        </m:oMath>
      </m:oMathPara>
    </w:p>
    <w:p>
      <w:pPr>
        <w:pStyle w:val="FirstParagraph"/>
      </w:pPr>
      <w:r>
        <w:t xml:space="preserve">Only the first Hermite order contributes to</w:t>
      </w:r>
      <w:r>
        <w:t xml:space="preserve"> </w:t>
      </w:r>
      <m:oMath>
        <m:r>
          <m:t>B</m:t>
        </m:r>
      </m:oMath>
      <w:r>
        <w:t xml:space="preserve">. In coordinate</w:t>
      </w:r>
      <w:r>
        <w:t xml:space="preserve"> </w:t>
      </w:r>
      <m:oMath>
        <m:r>
          <m:t>j</m:t>
        </m:r>
      </m:oMath>
      <w:r>
        <w:t xml:space="preserve">, its cross-covariance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In a sampled iid model the compact-test weights and derivatives vanish at the initial node; hence this cross-covariance is exactly zero. This distinction explains the correlated-noise control mechanism. It does not establish an additional finite-family gain when initial-trace tests already approximate the full efficient directions.</w:t>
      </w:r>
    </w:p>
    <w:bookmarkEnd w:id="24"/>
    <w:bookmarkStart w:id="25" w:name="constructive-full-library-attainability"/>
    <w:p>
      <w:pPr>
        <w:pStyle w:val="Heading3"/>
      </w:pPr>
      <w:r>
        <w:t xml:space="preserve">5.6. Constructive full-library attainability</w:t>
      </w:r>
    </w:p>
    <w:p>
      <w:pPr>
        <w:pStyle w:val="FirstParagraph"/>
      </w:pPr>
      <w:r>
        <w:t xml:space="preserve">This is a constructive attainability result: the algorithm witnesses the sharp small-noise bound. Its moderate-noise precision is assessed separately in Section 7.6. The following procedure estimates every supplied library coefficient. Let</w:t>
      </w:r>
      <w:r>
        <w:t xml:space="preserve"> </w:t>
      </w:r>
      <m:oMath>
        <m:r>
          <m:t>B</m:t>
        </m:r>
      </m:oMath>
      <w:r>
        <w:t xml:space="preserve"> </w:t>
      </w:r>
      <w:r>
        <w:t xml:space="preserve">be the compact coefficient box and use uniform grids with an even number of intervals. Smooth the linear interpolant of</w:t>
      </w:r>
      <w:r>
        <w:t xml:space="preserve"> </w:t>
      </w:r>
      <m:oMath>
        <m:r>
          <m:t>Y</m:t>
        </m:r>
      </m:oMath>
      <w:r>
        <w:t xml:space="preserve"> </w:t>
      </w:r>
      <w:r>
        <w:t xml:space="preserve">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Reflect the interpolant at the endpoints. The proxy</w:t>
      </w:r>
      <w:r>
        <w:t xml:space="preserve"> </w:t>
      </w:r>
      <m:oMath>
        <m:r>
          <m:t>z</m:t>
        </m:r>
      </m:oMath>
      <w:r>
        <w:t xml:space="preserve"> </w:t>
      </w:r>
      <w:r>
        <w:t xml:space="preserve">supplies the</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and their analytic derivatives. Their Hermite-corrected weak equations give a full-library least-squares pilot, clipped to</w:t>
      </w:r>
      <w:r>
        <w:t xml:space="preserve"> </w:t>
      </w:r>
      <m:oMath>
        <m:r>
          <m:t>B</m:t>
        </m:r>
      </m:oMath>
      <w:r>
        <w:t xml:space="preserve">. A fixed deterministic-window pilot on a declared correct structural family gives the alternative construction in Proposition 3.</w:t>
      </w:r>
    </w:p>
    <w:p>
      <w:pPr>
        <w:pStyle w:val="BodyText"/>
      </w:pPr>
      <w:r>
        <w:t xml:space="preserve">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supported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Let</w:t>
      </w:r>
      <w:r>
        <w:t xml:space="preserve"> </w:t>
      </w:r>
      <m:oMath>
        <m:sSub>
          <m:e>
            <m:r>
              <m:t>r</m:t>
            </m:r>
          </m:e>
          <m:sub>
            <m:r>
              <m:t>k</m:t>
            </m:r>
          </m:sub>
        </m:sSub>
      </m:oMath>
      <w:r>
        <w:t xml:space="preserve"> </w:t>
      </w:r>
      <w:r>
        <w:t xml:space="preserve">be the number of retained scalar tests 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the number of stacked residual moments.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then solve corrected GLS and project the result to</w:t>
      </w:r>
      <w:r>
        <w:t xml:space="preserve"> </w:t>
      </w:r>
      <m:oMath>
        <m: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the column scaling and covariance guard. No generating support or pilot ODE solution is supplied to this full-library procedure.</w:t>
      </w:r>
    </w:p>
    <w:p>
      <w:pPr>
        <w:pStyle w:val="BodyText"/>
      </w:pPr>
      <w:r>
        <w:t xml:space="preserve">The technical restriction</w:t>
      </w:r>
      <w:r>
        <w:t xml:space="preserve"> </w:t>
      </w:r>
      <m:oMath>
        <m:r>
          <m:t>T</m:t>
        </m:r>
        <m:r>
          <m:rPr>
            <m:sty m:val="p"/>
          </m:rPr>
          <m:t>&gt;</m:t>
        </m:r>
        <m:r>
          <m:t>1</m:t>
        </m:r>
      </m:oMath>
      <w:r>
        <w:t xml:space="preserve"> </w:t>
      </w:r>
      <w:r>
        <w:t xml:space="preserve">makes the fixed half-unit interior margins of</w:t>
      </w:r>
      <w:r>
        <w:t xml:space="preserve"> </w:t>
      </w:r>
      <m:oMath>
        <m:r>
          <m:t>w</m:t>
        </m:r>
      </m:oMath>
      <w:r>
        <w:t xml:space="preserve"> </w:t>
      </w:r>
      <w:r>
        <w:t xml:space="preserve">nonempty. Proportional margins and a rescaled kernel give an equivalent construction on any positive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unit-amplitude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with vector field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Let the</w:t>
      </w:r>
      <w:r>
        <w:t xml:space="preserve"> </w:t>
      </w:r>
      <m:oMath>
        <m:r>
          <m:t>d</m:t>
        </m:r>
        <m:r>
          <m:t>m</m:t>
        </m:r>
      </m:oMath>
      <w:r>
        <w:t xml:space="preserve"> </w:t>
      </w:r>
      <w:r>
        <w:t xml:space="preserve">true coefficients lie strictly inside a supplied compact box. Observe</w:t>
      </w:r>
      <w:r>
        <w:t xml:space="preserve"> </w:t>
      </w:r>
      <m:oMath>
        <m:r>
          <m:t>Y</m:t>
        </m:r>
        <m:r>
          <m:rPr>
            <m:sty m:val="p"/>
          </m:rPr>
          <m:t>=</m:t>
        </m:r>
        <m:sSub>
          <m:e>
            <m:r>
              <m:t>x</m:t>
            </m:r>
          </m:e>
          <m:sub>
            <m:r>
              <m:t>0</m:t>
            </m:r>
          </m:sub>
        </m:sSub>
        <m:r>
          <m:rPr>
            <m:sty m:val="p"/>
          </m:rPr>
          <m:t>+</m:t>
        </m:r>
        <m:r>
          <m:t>ϵ</m:t>
        </m:r>
        <m:r>
          <m:t>η</m:t>
        </m:r>
      </m:oMath>
      <w:r>
        <w:t xml:space="preserve"> </w:t>
      </w:r>
      <w:r>
        <w:t xml:space="preserve">with known positive independent-coordinate stationary OU covariance and common correlation time</w:t>
      </w:r>
      <w:r>
        <w:t xml:space="preserve"> </w:t>
      </w:r>
      <m:oMath>
        <m:r>
          <m:t>τ</m:t>
        </m:r>
        <m:r>
          <m:rPr>
            <m:sty m:val="p"/>
          </m:rPr>
          <m:t>&gt;</m:t>
        </m:r>
        <m:r>
          <m:t>0</m:t>
        </m:r>
      </m:oMath>
      <w:r>
        <w:t xml:space="preserve">. Assume that, at some</w:t>
      </w:r>
      <w:r>
        <w:t xml:space="preserve"> </w:t>
      </w:r>
      <m:oMath>
        <m:sSub>
          <m:e>
            <m:r>
              <m:t>t</m:t>
            </m:r>
          </m:e>
          <m:sub>
            <m:r>
              <m:rPr>
                <m:sty m:val="p"/>
              </m:rPr>
              <m:t>*</m:t>
            </m:r>
          </m:sub>
        </m:sSub>
      </m:oMath>
      <w:r>
        <w:t xml:space="preserve"> </w:t>
      </w:r>
      <w:r>
        <w:t xml:space="preserve">in the observation interval,</w:t>
      </w:r>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For the full-library procedure just defined, 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the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and</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 The coefficient pilot uses all library terms; no generating support is supplied. S8.1 proves the general result, including rank, weight consistency and moment control; S8.2 verifies it for Van der Pol with the full 18-coefficient cubic library and</w:t>
      </w:r>
      <w:r>
        <w:t xml:space="preserve"> </w:t>
      </w:r>
      <m:oMath>
        <m:r>
          <m:t>u</m:t>
        </m:r>
        <m:r>
          <m:rPr>
            <m:sty m:val="p"/>
          </m:rPr>
          <m:t>=</m:t>
        </m:r>
        <m:r>
          <m:rPr>
            <m:sty m:val="p"/>
          </m:rPr>
          <m:t>(</m:t>
        </m:r>
        <m:r>
          <m:t>2</m:t>
        </m:r>
        <m:r>
          <m:rPr>
            <m:sty m:val="p"/>
          </m:rPr>
          <m:t>,</m:t>
        </m:r>
        <m:r>
          <m:t>0</m:t>
        </m:r>
        <m:r>
          <m:rPr>
            <m:sty m:val="p"/>
          </m:rPr>
          <m:t>)</m:t>
        </m:r>
      </m:oMath>
      <w:r>
        <w:t xml:space="preserve">, where the jet determinant is</w:t>
      </w:r>
      <w:r>
        <w:t xml:space="preserve"> </w:t>
      </w:r>
      <m:oMath>
        <m:r>
          <m:rPr>
            <m:sty m:val="p"/>
          </m:rPr>
          <m:t>−</m:t>
        </m:r>
        <m:r>
          <m:t>65265167726360395776</m:t>
        </m:r>
      </m:oMath>
      <w:r>
        <w:t xml:space="preserve">. This theorem concerns the specified guarded estimator and sequential limits, not finite-noise Wald calibration or the archived fixed-ridge fits.</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[27]</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[36]</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Proposition 3.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finite Hermite sum can be evaluated on a grid without storing a dense temporal matrix. S6.4 gives the recursion and the extension to incorrectly corrected raw features. Under temporal weights</w:t>
      </w:r>
      <w:r>
        <w:t xml:space="preserve"> </w:t>
      </w:r>
      <m:oMath>
        <m:r>
          <m:t>W</m:t>
        </m:r>
      </m:oMath>
      <w:r>
        <w:t xml:space="preserv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changing correction variances can also change the moment mean. The present comparisons supply the sensor covariance. Sensitivity to supplied and fitted correlation times is reported in S5.4.</w:t>
      </w:r>
    </w:p>
    <w:bookmarkEnd w:id="28"/>
    <w:bookmarkEnd w:id="29"/>
    <w:bookmarkStart w:id="45" w:name="X63b6ad1421b0eaf511f04cf417ee5cbdf183e11"/>
    <w:p>
      <w:pPr>
        <w:pStyle w:val="Heading2"/>
      </w:pPr>
      <w:r>
        <w:t xml:space="preserve">7. Numerical benchmarks: cost, recovery and attainability</w:t>
      </w:r>
    </w:p>
    <w:p>
      <w:pPr>
        <w:pStyle w:val="FirstParagraph"/>
      </w:pPr>
      <w:r>
        <w:t xml:space="preserve">The benchmarks use fully observed polynomial systems, supplied structure and sensor covariance, and archived paired observations. Feasible covariance pilots receive no generating coefficients. S2–S5 preserve protocols, seed ranges, fingerprints and additional checks. Local references and finite-noise performance are reported separately.</w:t>
      </w:r>
    </w:p>
    <w:bookmarkStart w:id="33" w:name="X17ee88f2fd037b59fb5b6ead397031a4d595b1c"/>
    <w:p>
      <w:pPr>
        <w:pStyle w:val="Heading3"/>
      </w:pPr>
      <w:r>
        <w:t xml:space="preserve">7.1. Information cost and finite-span efficiency</w:t>
      </w:r>
    </w:p>
    <w:p>
      <w:pPr>
        <w:pStyle w:val="FirstParagraph"/>
      </w:pPr>
      <w:r>
        <w:t xml:space="preserve">For Van der Pol, we fit four independent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range 0.3. Relative errors are divided by the true coefficient norm, two. The known-initial local RMSE reference at 5% noise is 0.013093, versus the boundary-free reference 0.016904: a 29% cost. Both scale linearly with noise amplitude.</w:t>
      </w:r>
    </w:p>
    <w:p>
      <w:pPr>
        <w:pStyle w:val="BodyText"/>
        <w:keepNext/>
      </w:pPr>
      <w:r>
        <w:t xml:space="preserve">Table 1.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local reference, while iid weights retain a roughly 5% gap. Exact residual-covariance calculations verify the stated local geometry. The original 128-path finite-span check is in S5.2; the larger paired comparison follows.</w:t>
      </w:r>
    </w:p>
    <w:p>
      <w:pPr>
        <w:pStyle w:val="BodyText"/>
        <w:keepNext/>
      </w:pPr>
      <w:r>
        <w:t xml:space="preserve">Table 2.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All 2000 prespecified paths at 0.5% noise are retained, including the original 128-path prefix once. Feasible weak GLS uses a bounded 30-window covariance pilot and 480 prescribed windows. Likelihood refinements use exact OU innovations and analytical ODE sensitivities. Paired iid-minus-OU RMSE is 0.00007426, with bootstrap interval [0.00005576, 0.00009327], a 4.22% benefit from temporal weighting. The initial unknown-state scoring step has an appreciable nonlinear initialization bias; three steps approach the nuisance-adjusted reference. The known-initial estimate has lower error because it observes the information discarded by compact tests.</w:t>
      </w:r>
    </w:p>
    <w:p>
      <w:pPr>
        <w:pStyle w:val="CaptionedFigure"/>
      </w:pPr>
      <w:r>
        <w:drawing>
          <wp:inline>
            <wp:extent cx="5334000" cy="2706045"/>
            <wp:effectExtent b="0" l="0" r="0" t="0"/>
            <wp:docPr descr="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33"/>
    <w:bookmarkStart w:id="37" w:name="recovery-with-universal-endpoint-tests"/>
    <w:p>
      <w:pPr>
        <w:pStyle w:val="Heading3"/>
      </w:pPr>
      <w:r>
        <w:t xml:space="preserve">7.2. Recovery with universal endpoint tests</w:t>
      </w:r>
    </w:p>
    <w:p>
      <w:pPr>
        <w:pStyle w:val="FirstParagraph"/>
      </w:pPr>
      <w:r>
        <w:t xml:space="preserve">For known</w:t>
      </w:r>
      <w:r>
        <w:t xml:space="preserve"> </w:t>
      </w:r>
      <m:oMath>
        <m:r>
          <m:t>u</m:t>
        </m:r>
      </m:oMath>
      <w:r>
        <w:t xml:space="preserve">, allow nonzero test traces and use the corrected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The universal family adds twelve time-only endpoint half-windows and</w:t>
      </w:r>
      <w:r>
        <w:t xml:space="preserve"> </w:t>
      </w:r>
      <m:oMath>
        <m:r>
          <m:t>Y</m:t>
        </m:r>
        <m:r>
          <m:rPr>
            <m:sty m:val="p"/>
          </m:rPr>
          <m:t>(</m:t>
        </m:r>
        <m:r>
          <m:t>0</m:t>
        </m:r>
        <m:r>
          <m:rPr>
            <m:sty m:val="p"/>
          </m:rPr>
          <m:t>)</m:t>
        </m:r>
        <m:r>
          <m:rPr>
            <m:sty m:val="p"/>
          </m:rPr>
          <m:t>−</m:t>
        </m:r>
        <m:r>
          <m:t>u</m:t>
        </m:r>
      </m:oMath>
      <w:r>
        <w:t xml:space="preserve"> </w:t>
      </w:r>
      <w:r>
        <w:t xml:space="preserve">controls to 480 interior windows. Covariance weights still require an integrated 30-window pilot. Theorem 2 identifies the full local influence class; the known-initial trace adaptation itself is established by Brunel et al.</w:t>
      </w:r>
      <w:r>
        <w:t xml:space="preserve"> </w:t>
      </w:r>
      <w:r>
        <w:t xml:space="preserve">[1]</w:t>
      </w:r>
      <w:r>
        <w:t xml:space="preserve">.</w:t>
      </w:r>
    </w:p>
    <w:p>
      <w:pPr>
        <w:pStyle w:val="BodyText"/>
        <w:keepNext/>
      </w:pPr>
      <w:r>
        <w:t xml:space="preserve">Table 3. Known-initial endpoint confirmation on 1968 paired Van der Pol paths at 0.5% noise. The likelihood reference is one Fisher-scoring step. All errors use the four-coefficient norm, two.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These 1968 records were unused for endpoint fitting, while their compact and scoring references were archived. After inspecting the 32-path pilot, we replaced the absolute RMSE gate of 0.00140 with paired relative criteria because known-initial likelihood itself failed that gate; the amendment was frozen before any new endpoint outcomes on the 1968 confirmation records were inspected. The frozen confirmation criterion requires at least 50% gap recovery. Universal endpoints recover 97.1%, with paired interval 95.5–98.6%, and lie 0.88% above scoring. Model-adjoint tests realize score directions and provide an implementation check. S2 and S5.5 record the criterion amendment and quadrature checks.</w:t>
      </w:r>
    </w:p>
    <w:p>
      <w:pPr>
        <w:pStyle w:val="CaptionedFigure"/>
      </w:pPr>
      <w:r>
        <w:drawing>
          <wp:inline>
            <wp:extent cx="5334000" cy="2667000"/>
            <wp:effectExtent b="0" l="0" r="0" t="0"/>
            <wp:docPr descr="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Component gains are measured against the matched compact branch and known-initial scoring.</w:t>
      </w:r>
    </w:p>
    <w:p>
      <w:pPr>
        <w:pStyle w:val="BodyText"/>
        <w:keepNext/>
      </w:pPr>
      <w:r>
        <w:t xml:space="preserve">Table 4. Endpoint-component ablation on 500 paired paths at 0.5% noise. Recovery is measured against the matched Simpson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quantifying the Brunel mechanism under OU noise. Initial controls give a smaller standalone gain and terminal traces give none resolved. Combining all components changes RMSE relative to initial traces by</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Their contributions overlap and cannot be added. The control’s standalone improvement is specific to correlation between initial and interior error, rather than evidence for an additional gain after trace adaptation.</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w:t>
      </w:r>
    </w:p>
    <w:bookmarkEnd w:id="41"/>
    <w:bookmarkStart w:id="42" w:name="Xeab1a4d654af424ae1f7cb2c703b1f5e4d0285c"/>
    <w:p>
      <w:pPr>
        <w:pStyle w:val="Heading3"/>
      </w:pPr>
      <w:r>
        <w:t xml:space="preserve">7.4. Moderate-noise limits and Lorenz confirmation</w:t>
      </w:r>
    </w:p>
    <w:p>
      <w:pPr>
        <w:pStyle w:val="FirstParagraph"/>
      </w:pPr>
      <w:r>
        <w:t xml:space="preserve">The 5% Van der Pol check reuses all 128 matched observations, with known initial state and the same feasible pilot. The likelihood reference optimizes exact OU innovations.</w:t>
      </w:r>
    </w:p>
    <w:p>
      <w:pPr>
        <w:pStyle w:val="BodyText"/>
        <w:keepNext/>
      </w:pPr>
      <w:r>
        <w:t xml:space="preserve">Table 5. Moderate-noise endpoint confirmation on 128 paired Van der Pol paths at 5%. The known-initial reference uses full nonlinear likelihood fitting.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32.6% of the gap (18.3–45.8%), failing the frozen 50% criterion. Clean-design first-order and full-Hermite references are 0.013094 and 0.013636, below empirical dispersion 0.021125. Restored local geometry therefore leaves finite-noise design, pilot and fitting effects. The matched author-WENDy comparison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its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range 0.1 and 0.5% coordinate noise. The unknown-initial local relative RMSE reference is 0.000411, versus 0.000209 when the initial state is known: almost a factor two.</w:t>
      </w:r>
    </w:p>
    <w:p>
      <w:pPr>
        <w:pStyle w:val="BodyText"/>
        <w:keepNext/>
      </w:pPr>
      <w:r>
        <w:t xml:space="preserve">Table 6. Lorenz endpoint confirmation on 256 paired paths. Errors are relative to the norm of</w:t>
      </w:r>
      <w:r>
        <w:t xml:space="preserve"> </w:t>
      </w:r>
      <m:oMath>
        <m:r>
          <m:rPr>
            <m:sty m:val="p"/>
          </m:rPr>
          <m:t>(</m:t>
        </m:r>
        <m:r>
          <m:t>10</m:t>
        </m:r>
        <m:r>
          <m:rPr>
            <m:sty m:val="p"/>
          </m:rPr>
          <m:t>,</m:t>
        </m:r>
        <m:r>
          <m:t>28</m:t>
        </m:r>
        <m:r>
          <m:rPr>
            <m:sty m:val="p"/>
          </m:rPr>
          <m:t>,</m:t>
        </m:r>
        <m:r>
          <m:t>8</m:t>
        </m:r>
        <m:r>
          <m:rPr>
            <m:sty m:val="p"/>
          </m:rPr>
          <m:t>/</m:t>
        </m:r>
        <m:r>
          <m:t>3</m:t>
        </m:r>
        <m:r>
          <m:rPr>
            <m:sty m:val="p"/>
          </m:rPr>
          <m:t>)</m:t>
        </m:r>
      </m:oMath>
      <w:r>
        <w:t xml:space="preserve">. The common horizon is four and the sampling interval is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and all converged fits are retained. Universal endpoint windows recover 95.5% of the compact-to-likelihood gap (92.8–98.0%), passing the same 50% rule. The full-Hermite clean-design reference is 0.00020926, close to the observed endpoint dispersion. These two supplied structures support small-noise recovery; moderate-noise universality remains unestablished.</w:t>
      </w:r>
    </w:p>
    <w:bookmarkEnd w:id="42"/>
    <w:bookmarkStart w:id="43" w:name="direction-specific-information-cost"/>
    <w:p>
      <w:pPr>
        <w:pStyle w:val="Heading3"/>
      </w:pPr>
      <w:r>
        <w:t xml:space="preserve">7.5. Direction-specific information cost</w:t>
      </w:r>
    </w:p>
    <w:p>
      <w:pPr>
        <w:pStyle w:val="FirstParagraph"/>
      </w:pPr>
      <w:r>
        <w:t xml:space="preserve">For the prespecified negative cubic perturbation</w:t>
      </w:r>
      <w:r>
        <w:t xml:space="preserve"> </w:t>
      </w:r>
      <m:oMath>
        <m:r>
          <m:t>δ</m:t>
        </m:r>
        <m:sSup>
          <m:e>
            <m:r>
              <m:t>x</m:t>
            </m:r>
          </m:e>
          <m:sup>
            <m:r>
              <m:t>3</m:t>
            </m:r>
          </m:sup>
        </m:sSup>
      </m:oMath>
      <w:r>
        <w:t xml:space="preserve"> </w:t>
      </w:r>
      <w:r>
        <w:t xml:space="preserve">in the second Van der Pol equation, profiling all seventeen other library coefficients gives local full-information and boundary-free two-point reference magnitudes 0.01928 and 0.01941 at 0.5% noise. The initial-state information cost for this direction is only 0.68%, despite its larger aggregate coefficient-estimation cost. Supplied-candidate Wald testing and library-wide sparse selection have different inputs and targets; their detailed comparison and calibration studies are supplementary (S3, S4 and S9).</w:t>
      </w:r>
    </w:p>
    <w:bookmarkEnd w:id="43"/>
    <w:bookmarkStart w:id="44" w:name="Xabe78db971da42d0874d7e94b06848c74f5c37f"/>
    <w:p>
      <w:pPr>
        <w:pStyle w:val="Heading3"/>
      </w:pPr>
      <w:r>
        <w:t xml:space="preserve">7.6. Matching the constructive estimator to its finite-span reference</w:t>
      </w:r>
    </w:p>
    <w:p>
      <w:pPr>
        <w:pStyle w:val="FirstParagraph"/>
      </w:pPr>
      <w:r>
        <w:t xml:space="preserve">The interior proxy smoothing bias is</w:t>
      </w:r>
      <w:r>
        <w:t xml:space="preserve"> </w:t>
      </w:r>
      <m:oMath>
        <m:r>
          <m:t>O</m:t>
        </m:r>
        <m:r>
          <m:rPr>
            <m:sty m:val="p"/>
          </m:rPr>
          <m:t>(</m:t>
        </m:r>
        <m:sSup>
          <m:e>
            <m:r>
              <m:t>b</m:t>
            </m:r>
          </m:e>
          <m:sup>
            <m:r>
              <m:t>2</m:t>
            </m:r>
          </m:sup>
        </m:sSup>
        <m:r>
          <m:rPr>
            <m:sty m:val="p"/>
          </m:rPr>
          <m:t>)</m:t>
        </m:r>
        <m:r>
          <m:rPr>
            <m:sty m:val="p"/>
          </m:rPr>
          <m:t>=</m:t>
        </m:r>
        <m:r>
          <m:t>O</m:t>
        </m:r>
        <m:r>
          <m:rPr>
            <m:sty m:val="p"/>
          </m:rPr>
          <m:t>(</m:t>
        </m:r>
        <m:sSup>
          <m:e>
            <m:r>
              <m:t>ϵ</m:t>
            </m:r>
          </m:e>
          <m:sup>
            <m:r>
              <m:t>1</m:t>
            </m:r>
            <m:r>
              <m:rPr>
                <m:sty m:val="p"/>
              </m:rPr>
              <m:t>/</m:t>
            </m:r>
            <m:r>
              <m:t>5</m:t>
            </m:r>
          </m:sup>
        </m:sSup>
        <m:r>
          <m:rPr>
            <m:sty m:val="p"/>
          </m:rPr>
          <m:t>)</m:t>
        </m:r>
      </m:oMath>
      <w:r>
        <w:t xml:space="preserve"> </w:t>
      </w:r>
      <w:r>
        <w:t xml:space="preserve">(Lemma S8.A); instrument convergence can therefore be slow even though the clean weak identity gives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This instrument rate is not a claimed rate for the empirical RMSE ratio. Conditioning amplifies small perturbations: the clean raw Gram has minimum eigenvalue</w:t>
      </w:r>
      <w:r>
        <w:t xml:space="preserve"> </w:t>
      </w:r>
      <m:oMath>
        <m:r>
          <m:t>6.07</m:t>
        </m:r>
        <m:r>
          <m:rPr>
            <m:sty m:val="p"/>
          </m:rPr>
          <m:t>×</m:t>
        </m:r>
        <m:sSup>
          <m:e>
            <m:r>
              <m:t>10</m:t>
            </m:r>
          </m:e>
          <m:sup>
            <m:r>
              <m:rPr>
                <m:sty m:val="p"/>
              </m:rPr>
              <m:t>−</m:t>
            </m:r>
            <m:r>
              <m:t>10</m:t>
            </m:r>
          </m:sup>
        </m:sSup>
      </m:oMath>
      <w:r>
        <w:t xml:space="preserve"> </w:t>
      </w:r>
      <w:r>
        <w:t xml:space="preserve">and condition number at least</w:t>
      </w:r>
      <w:r>
        <w:t xml:space="preserve"> </w:t>
      </w:r>
      <m:oMath>
        <m:r>
          <m:t>7.1</m:t>
        </m:r>
        <m:r>
          <m:rPr>
            <m:sty m:val="p"/>
          </m:rPr>
          <m:t>×</m:t>
        </m:r>
        <m:sSup>
          <m:e>
            <m:r>
              <m:t>10</m:t>
            </m:r>
          </m:e>
          <m:sup>
            <m:r>
              <m:t>9</m:t>
            </m:r>
          </m:sup>
        </m:sSup>
      </m:oMath>
      <w:r>
        <w:t xml:space="preserve">, from a cubic-test diagonal Rayleigh bound. The column-scaled GLS normal matrix has condition number</w:t>
      </w:r>
      <w:r>
        <w:t xml:space="preserve"> </w:t>
      </w:r>
      <m:oMath>
        <m:r>
          <m:t>1.40</m:t>
        </m:r>
        <m:r>
          <m:rPr>
            <m:sty m:val="p"/>
          </m:rPr>
          <m:t>×</m:t>
        </m:r>
        <m:sSup>
          <m:e>
            <m:r>
              <m:t>10</m:t>
            </m:r>
          </m:e>
          <m:sup>
            <m:r>
              <m:t>6</m:t>
            </m:r>
          </m:sup>
        </m:sSup>
      </m:oMath>
      <w:r>
        <w:t xml:space="preserve">. Positivity at fixed level suffices for Theorem 3, but its constants depend on these gaps; no uniform growing-span rate is established.</w:t>
      </w:r>
    </w:p>
    <w:p>
      <w:pPr>
        <w:pStyle w:val="BodyText"/>
      </w:pPr>
      <w:r>
        <w:t xml:space="preserve">The full-library estimator of Theorem 3 uses nine smoothed-data feature instruments and 125 time-only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The calculation retains all rows and uses neither ridge nor rank truncation. Refining the finest grid from</w:t>
      </w:r>
      <w:r>
        <w:t xml:space="preserve"> </w:t>
      </w:r>
      <m:oMath>
        <m:r>
          <m:t>h</m:t>
        </m:r>
        <m:r>
          <m:rPr>
            <m:sty m:val="p"/>
          </m:rPr>
          <m:t>=</m:t>
        </m:r>
        <m:r>
          <m:t>0.00015625</m:t>
        </m:r>
      </m:oMath>
      <w:r>
        <w:t xml:space="preserve"> </w:t>
      </w:r>
      <w:r>
        <w:t xml:space="preserve">to</w:t>
      </w:r>
      <w:r>
        <w:t xml:space="preserve"> </w:t>
      </w:r>
      <m:oMath>
        <m:r>
          <m:t>0.000078125</m:t>
        </m:r>
      </m:oMath>
      <w:r>
        <w:t xml:space="preserve"> </w:t>
      </w:r>
      <w:r>
        <w:t xml:space="preserve">changes this reference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earlier supplied four-coefficient Van der Pol benchmarks.</w:t>
      </w:r>
    </w:p>
    <w:p>
      <w:pPr>
        <w:pStyle w:val="BodyText"/>
        <w:keepNext/>
      </w:pPr>
      <w:r>
        <w:t xml:space="preserve">Table 7. Constructive full-library estimator on 100 independent paths at each amplitude. Intervals resample archived coefficient errors 10,000 times and are pointwise; no new observations are generated for this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All four lower-noise ratio intervals include one; the 5% interval lies above it. There are no guard fallbacks or final clipping on these 500 paths. The reference uses the full limiting span of 134 tests. At the four larger amplitudes every fit retains 134 tests; at 0.01% noise, 65 fits retain 133 and 35 retain 132. Finite-amplitude cutoff and adaptive-instrument effects therefore remain, and the ratios establish compatibility with the limiting reference rather than numerical proof of its attainment. At 5% noise the total eighteen-coefficient RMSE is 0.5813, or root-mean-square coordinate error 0.1370. At this amplitude the coordinate error limits practical precision: Theorem 3 establishes attainability in the small-noise limit, and this construction is an asymptotic benchmark rather than a recommended moderate-noise fitting method. Each level has only 100 paths; the intervals leave the apparent lower-noise trend unresolved. Supplement S9.2 records matrix checks and covariance diagnostics; Table S8 distinguishes the estimators.</w:t>
      </w:r>
    </w:p>
    <w:bookmarkEnd w:id="44"/>
    <w:bookmarkEnd w:id="45"/>
    <w:bookmarkStart w:id="46" w:name="discussion-and-limitations"/>
    <w:p>
      <w:pPr>
        <w:pStyle w:val="Heading2"/>
      </w:pPr>
      <w:r>
        <w:t xml:space="preserve">8. Discussion and limitations</w:t>
      </w:r>
    </w:p>
    <w:p>
      <w:pPr>
        <w:pStyle w:val="FirstParagraph"/>
      </w:pPr>
      <w:r>
        <w:t xml:space="preserve">Boundary-free equations retain exactly the local information available when the initial state is a nuisance parameter. Their restriction has a quantified cost when the state is known: 29% in the Van der Pol aggregate RMSE reference and almost a factor two for Lorenz. Rich spans and correct temporal weights approximate the sharp class reference. Theorem 2 supplies the complementary full-information class for known-initial boundary adaptations. The exact adjoint-range equalities, rather than classical projection formulas or the Brunel remedy, are the theoretical contribution.</w:t>
      </w:r>
    </w:p>
    <w:p>
      <w:pPr>
        <w:pStyle w:val="BodyText"/>
      </w:pPr>
      <w:r>
        <w:t xml:space="preserve">The recovery experiment and ablation distinguish class theory from method novelty. Universal endpoint windows recover 97.1% of the weak-to-scoring gap on 1968 Van der Pol records and 95.5% of the weak-to-likelihood gap on 256 Lorenz records. On the 500-record Van der Pol ablation, initial traces alone explain essentially all that gain, reproducing the established Brunel adaptation. The correlated-noise initial control is useful separately, recovering 14.3% of the gap, but contributes no resolved improvement after initial traces. Thus the remedy is an established boundary mechanism with a quantitative OU benchmark. At 5% Van der Pol noise only 32.6% of the likelihood gap is recovered. Covariance weights still require an integrated pilot model; computational superiority has not been demonstrated.</w:t>
      </w:r>
    </w:p>
    <w:p>
      <w:pPr>
        <w:pStyle w:val="BodyText"/>
      </w:pPr>
      <w:r>
        <w:t xml:space="preserve">Information loss is direction specific: initial-state projection raises the local cubic-candidate detection reference by only 0.68%, compared with the larger aggregate coefficient-estimation cost. The supplementary testing study distinguishes prespecified candidates from unrestricted structure discovery. The main empirical attainability check instead matches the full-library estimator to its own finite-span covariance, with uncertainty reported for the limited 100-path samples. At moderate noise this large library remains imprecise, and the local theorem does not establish finite-noise inferential calibration.</w:t>
      </w:r>
    </w:p>
    <w:p>
      <w:pPr>
        <w:pStyle w:val="BodyText"/>
      </w:pPr>
      <w:r>
        <w:t xml:space="preserve">The scope is fully observed deterministic polynomial ODEs with known positive sensor covariance. Small-noise influence efficiency, finite-noise feasible accuracy and support selection are separate claims. Exact residual covariance does not by itself give exact finite-noise estimator variance when weights and designs depend on the record. On the matched moderate-noise benchmark, likelihood is more accurate than the original boundary-free weak estimator. Independent-record GMM, fission and cross-fitting are preserved in the separate research archive and lie outside the main claims. Joint span/noise rates, unknown-covariance calibration with heterogeneous states, partial observation and process noise require further analysis.</w:t>
      </w:r>
    </w:p>
    <w:bookmarkEnd w:id="46"/>
    <w:bookmarkStart w:id="49" w:name="data-availability"/>
    <w:p>
      <w:pPr>
        <w:pStyle w:val="Heading2"/>
      </w:pPr>
      <w:r>
        <w:t xml:space="preserve">Data availability</w:t>
      </w:r>
    </w:p>
    <w:p>
      <w:pPr>
        <w:pStyle w:val="FirstParagraph"/>
      </w:pPr>
      <w:r>
        <w:t xml:space="preserve">The current code and synthetic-data archive, v1.3.1, is publicly available in the</w:t>
      </w:r>
      <w:r>
        <w:t xml:space="preserve"> </w:t>
      </w:r>
      <w:hyperlink r:id="rId47">
        <w:r>
          <w:rPr>
            <w:rStyle w:val="Hyperlink"/>
          </w:rPr>
          <w:t xml:space="preserve">versioned reproducibility repository</w:t>
        </w:r>
      </w:hyperlink>
      <w:r>
        <w:t xml:space="preserve">. Configurations, seed ranges, source fingerprints, coefficient estimates, covariance summaries and SHA256 manifests permit exact input reconstruction and paired audit. Full synthetic time series are regenerated from the frozen seed protocol. Pinned download specifications retrieve original author sources. The separate research archive preserves earlier extensions. Moderate-noise bootstrap validation remains incomplete after a recorded compute-budget decision. The</w:t>
      </w:r>
      <w:r>
        <w:t xml:space="preserve"> </w:t>
      </w:r>
      <w:hyperlink r:id="rId48">
        <w:r>
          <w:rPr>
            <w:rStyle w:val="Hyperlink"/>
          </w:rPr>
          <w:t xml:space="preserve">preceding v1.2.0 Zenodo snapshot</w:t>
        </w:r>
      </w:hyperlink>
      <w:r>
        <w:t xml:space="preserve"> </w:t>
      </w:r>
      <w:r>
        <w:t xml:space="preserve">remains unchanged; a DOI for the current version has not yet been publicly verified. No external experimental dataset is used.</w:t>
      </w:r>
    </w:p>
    <w:bookmarkEnd w:id="49"/>
    <w:bookmarkStart w:id="50"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0"/>
    <w:bookmarkStart w:id="124" w:name="references"/>
    <w:p>
      <w:pPr>
        <w:pStyle w:val="Heading2"/>
      </w:pPr>
      <w:r>
        <w:t xml:space="preserve">References</w:t>
      </w:r>
    </w:p>
    <w:bookmarkStart w:id="123" w:name="refs"/>
    <w:bookmarkStart w:id="52"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1">
        <w:r>
          <w:rPr>
            <w:rStyle w:val="Hyperlink"/>
          </w:rPr>
          <w:t xml:space="preserve">https://doi.org/10.1080/01621459.2013.841583</w:t>
        </w:r>
      </w:hyperlink>
      <w:r>
        <w:t xml:space="preserve">.</w:t>
      </w:r>
    </w:p>
    <w:bookmarkEnd w:id="52"/>
    <w:bookmarkStart w:id="54"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3">
        <w:r>
          <w:rPr>
            <w:rStyle w:val="Hyperlink"/>
          </w:rPr>
          <w:t xml:space="preserve">https://doi.org/10.1007/s11538-026-01639-x</w:t>
        </w:r>
      </w:hyperlink>
      <w:r>
        <w:t xml:space="preserve">.</w:t>
      </w:r>
    </w:p>
    <w:bookmarkEnd w:id="54"/>
    <w:bookmarkStart w:id="56"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55">
        <w:r>
          <w:rPr>
            <w:rStyle w:val="Hyperlink"/>
          </w:rPr>
          <w:t xml:space="preserve">https://doi.org/10.1073/pnas.1517384113</w:t>
        </w:r>
      </w:hyperlink>
      <w:r>
        <w:t xml:space="preserve">.</w:t>
      </w:r>
    </w:p>
    <w:bookmarkEnd w:id="56"/>
    <w:bookmarkStart w:id="58"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7">
        <w:r>
          <w:rPr>
            <w:rStyle w:val="Hyperlink"/>
          </w:rPr>
          <w:t xml:space="preserve">https://doi.org/10.1103/PhysRevE.96.023302</w:t>
        </w:r>
      </w:hyperlink>
      <w:r>
        <w:t xml:space="preserve">.</w:t>
      </w:r>
    </w:p>
    <w:bookmarkEnd w:id="58"/>
    <w:bookmarkStart w:id="60"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9">
        <w:r>
          <w:rPr>
            <w:rStyle w:val="Hyperlink"/>
          </w:rPr>
          <w:t xml:space="preserve">https://doi.org/10.1137/20M1343166</w:t>
        </w:r>
      </w:hyperlink>
      <w:r>
        <w:t xml:space="preserve">.</w:t>
      </w:r>
    </w:p>
    <w:bookmarkEnd w:id="60"/>
    <w:bookmarkStart w:id="62"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1">
        <w:r>
          <w:rPr>
            <w:rStyle w:val="Hyperlink"/>
          </w:rPr>
          <w:t xml:space="preserve">https://doi.org/10.1103/PhysRevE.101.010203</w:t>
        </w:r>
      </w:hyperlink>
      <w:r>
        <w:t xml:space="preserve">.</w:t>
      </w:r>
    </w:p>
    <w:bookmarkEnd w:id="62"/>
    <w:bookmarkStart w:id="64"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3">
        <w:r>
          <w:rPr>
            <w:rStyle w:val="Hyperlink"/>
          </w:rPr>
          <w:t xml:space="preserve">https://doi.org/10.1007/978-1-4612-1494-6</w:t>
        </w:r>
      </w:hyperlink>
      <w:r>
        <w:t xml:space="preserve">.</w:t>
      </w:r>
    </w:p>
    <w:bookmarkEnd w:id="64"/>
    <w:bookmarkStart w:id="66" w:name="ref-ying1991"/>
    <w:p>
      <w:pPr>
        <w:pStyle w:val="Bibliography"/>
      </w:pPr>
      <w:r>
        <w:t xml:space="preserve">[8]</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5">
        <w:r>
          <w:rPr>
            <w:rStyle w:val="Hyperlink"/>
          </w:rPr>
          <w:t xml:space="preserve">https://doi.org/10.1016/0047-259X(91)90062-7</w:t>
        </w:r>
      </w:hyperlink>
      <w:r>
        <w:t xml:space="preserve">.</w:t>
      </w:r>
    </w:p>
    <w:bookmarkEnd w:id="66"/>
    <w:bookmarkStart w:id="68"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7">
        <w:r>
          <w:rPr>
            <w:rStyle w:val="Hyperlink"/>
          </w:rPr>
          <w:t xml:space="preserve">https://doi.org/10.1198/016214504000000241</w:t>
        </w:r>
      </w:hyperlink>
      <w:r>
        <w:t xml:space="preserve">.</w:t>
      </w:r>
    </w:p>
    <w:bookmarkEnd w:id="68"/>
    <w:bookmarkStart w:id="70" w:name="ref-godambe1960"/>
    <w:p>
      <w:pPr>
        <w:pStyle w:val="Bibliography"/>
      </w:pPr>
      <w:r>
        <w:t xml:space="preserve">[10]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9">
        <w:r>
          <w:rPr>
            <w:rStyle w:val="Hyperlink"/>
          </w:rPr>
          <w:t xml:space="preserve">https://doi.org/10.1214/aoms/1177705693</w:t>
        </w:r>
      </w:hyperlink>
      <w:r>
        <w:t xml:space="preserve">.</w:t>
      </w:r>
    </w:p>
    <w:bookmarkEnd w:id="70"/>
    <w:bookmarkStart w:id="72" w:name="ref-bickel1993"/>
    <w:p>
      <w:pPr>
        <w:pStyle w:val="Bibliography"/>
      </w:pPr>
      <w:r>
        <w:t xml:space="preserve">[11]</w:t>
      </w:r>
      <w:r>
        <w:t xml:space="preserve"> </w:t>
      </w:r>
      <w:r>
        <w:t xml:space="preserve">	</w:t>
      </w:r>
      <w:r>
        <w:t xml:space="preserve">Bickel PJ, Klaassen CAJ, Ritov Y, Wellner JA.</w:t>
      </w:r>
      <w:r>
        <w:t xml:space="preserve"> </w:t>
      </w:r>
      <w:hyperlink r:id="rId71">
        <w:r>
          <w:rPr>
            <w:rStyle w:val="Hyperlink"/>
          </w:rPr>
          <w:t xml:space="preserve">Efficient and adaptive estimation for semiparametric models</w:t>
        </w:r>
      </w:hyperlink>
      <w:r>
        <w:t xml:space="preserve">. Johns Hopkins University Press (1993).</w:t>
      </w:r>
    </w:p>
    <w:bookmarkEnd w:id="72"/>
    <w:bookmarkStart w:id="74" w:name="ref-vandervaart1998"/>
    <w:p>
      <w:pPr>
        <w:pStyle w:val="Bibliography"/>
      </w:pPr>
      <w:r>
        <w:t xml:space="preserve">[12]</w:t>
      </w:r>
      <w:r>
        <w:t xml:space="preserve"> </w:t>
      </w:r>
      <w:r>
        <w:t xml:space="preserve">	</w:t>
      </w:r>
      <w:r>
        <w:t xml:space="preserve">van der Vaart AW</w:t>
      </w:r>
      <w:r>
        <w:t xml:space="preserve">. Asymptotic statistics. Cambridge University Press (1998)</w:t>
      </w:r>
      <w:r>
        <w:t xml:space="preserve"> </w:t>
      </w:r>
      <w:hyperlink r:id="rId73">
        <w:r>
          <w:rPr>
            <w:rStyle w:val="Hyperlink"/>
          </w:rPr>
          <w:t xml:space="preserve">https://doi.org/10.1017/CBO9780511802256</w:t>
        </w:r>
      </w:hyperlink>
      <w:r>
        <w:t xml:space="preserve">.</w:t>
      </w:r>
    </w:p>
    <w:bookmarkEnd w:id="74"/>
    <w:bookmarkStart w:id="76" w:name="ref-dette2016"/>
    <w:p>
      <w:pPr>
        <w:pStyle w:val="Bibliography"/>
      </w:pPr>
      <w:r>
        <w:t xml:space="preserve">[13]</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5">
        <w:r>
          <w:rPr>
            <w:rStyle w:val="Hyperlink"/>
          </w:rPr>
          <w:t xml:space="preserve">https://doi.org/10.1214/15-AOS1361</w:t>
        </w:r>
      </w:hyperlink>
      <w:r>
        <w:t xml:space="preserve">.</w:t>
      </w:r>
    </w:p>
    <w:bookmarkEnd w:id="76"/>
    <w:bookmarkStart w:id="78" w:name="ref-dette2017"/>
    <w:p>
      <w:pPr>
        <w:pStyle w:val="Bibliography"/>
      </w:pPr>
      <w:r>
        <w:t xml:space="preserve">[14]</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messenger2025"/>
    <w:p>
      <w:pPr>
        <w:pStyle w:val="Bibliography"/>
      </w:pPr>
      <w:r>
        <w:t xml:space="preserve">[15]</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79">
        <w:r>
          <w:rPr>
            <w:rStyle w:val="Hyperlink"/>
          </w:rPr>
          <w:t xml:space="preserve">https://doi.org/10.1093/imanum/drae086</w:t>
        </w:r>
      </w:hyperlink>
      <w:r>
        <w:t xml:space="preserve">.</w:t>
      </w:r>
    </w:p>
    <w:bookmarkEnd w:id="80"/>
    <w:bookmarkStart w:id="82" w:name="ref-varah1982"/>
    <w:p>
      <w:pPr>
        <w:pStyle w:val="Bibliography"/>
      </w:pPr>
      <w:r>
        <w:t xml:space="preserve">[16]</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1">
        <w:r>
          <w:rPr>
            <w:rStyle w:val="Hyperlink"/>
          </w:rPr>
          <w:t xml:space="preserve">https://doi.org/10.1137/0903003</w:t>
        </w:r>
      </w:hyperlink>
      <w:r>
        <w:t xml:space="preserve">.</w:t>
      </w:r>
    </w:p>
    <w:bookmarkEnd w:id="82"/>
    <w:bookmarkStart w:id="84" w:name="ref-brunel2008"/>
    <w:p>
      <w:pPr>
        <w:pStyle w:val="Bibliography"/>
      </w:pPr>
      <w:r>
        <w:t xml:space="preserve">[17]</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3">
        <w:r>
          <w:rPr>
            <w:rStyle w:val="Hyperlink"/>
          </w:rPr>
          <w:t xml:space="preserve">https://doi.org/10.1214/07-EJS132</w:t>
        </w:r>
      </w:hyperlink>
      <w:r>
        <w:t xml:space="preserve">.</w:t>
      </w:r>
    </w:p>
    <w:bookmarkEnd w:id="84"/>
    <w:bookmarkStart w:id="86" w:name="ref-liang2008"/>
    <w:p>
      <w:pPr>
        <w:pStyle w:val="Bibliography"/>
      </w:pPr>
      <w:r>
        <w:t xml:space="preserve">[18]</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5">
        <w:r>
          <w:rPr>
            <w:rStyle w:val="Hyperlink"/>
          </w:rPr>
          <w:t xml:space="preserve">https://doi.org/10.1198/016214508000000797</w:t>
        </w:r>
      </w:hyperlink>
      <w:r>
        <w:t xml:space="preserve">.</w:t>
      </w:r>
    </w:p>
    <w:bookmarkEnd w:id="86"/>
    <w:bookmarkStart w:id="88" w:name="ref-gugushvili2012"/>
    <w:p>
      <w:pPr>
        <w:pStyle w:val="Bibliography"/>
      </w:pPr>
      <w:r>
        <w:t xml:space="preserve">[19]</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87">
        <w:r>
          <w:rPr>
            <w:rStyle w:val="Hyperlink"/>
          </w:rPr>
          <w:t xml:space="preserve">https://doi.org/10.3150/11-BEJ362</w:t>
        </w:r>
      </w:hyperlink>
      <w:r>
        <w:t xml:space="preserve">.</w:t>
      </w:r>
    </w:p>
    <w:bookmarkEnd w:id="88"/>
    <w:bookmarkStart w:id="90" w:name="ref-dattner2015"/>
    <w:p>
      <w:pPr>
        <w:pStyle w:val="Bibliography"/>
      </w:pPr>
      <w:r>
        <w:t xml:space="preserve">[20]</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89">
        <w:r>
          <w:rPr>
            <w:rStyle w:val="Hyperlink"/>
          </w:rPr>
          <w:t xml:space="preserve">https://doi.org/10.1214/15-EJS1053</w:t>
        </w:r>
      </w:hyperlink>
      <w:r>
        <w:t xml:space="preserve">.</w:t>
      </w:r>
    </w:p>
    <w:bookmarkEnd w:id="90"/>
    <w:bookmarkStart w:id="92" w:name="ref-ramsay2007"/>
    <w:p>
      <w:pPr>
        <w:pStyle w:val="Bibliography"/>
      </w:pPr>
      <w:r>
        <w:t xml:space="preserve">[21]</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1">
        <w:r>
          <w:rPr>
            <w:rStyle w:val="Hyperlink"/>
          </w:rPr>
          <w:t xml:space="preserve">https://doi.org/10.1111/j.1467-9868.2007.00610.x</w:t>
        </w:r>
      </w:hyperlink>
      <w:r>
        <w:t xml:space="preserve">.</w:t>
      </w:r>
    </w:p>
    <w:bookmarkEnd w:id="92"/>
    <w:bookmarkStart w:id="94" w:name="ref-qi2010"/>
    <w:p>
      <w:pPr>
        <w:pStyle w:val="Bibliography"/>
      </w:pPr>
      <w:r>
        <w:t xml:space="preserve">[22]</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3">
        <w:r>
          <w:rPr>
            <w:rStyle w:val="Hyperlink"/>
          </w:rPr>
          <w:t xml:space="preserve">https://doi.org/10.1214/09-AOS724</w:t>
        </w:r>
      </w:hyperlink>
      <w:r>
        <w:t xml:space="preserve">.</w:t>
      </w:r>
    </w:p>
    <w:bookmarkEnd w:id="94"/>
    <w:bookmarkStart w:id="96" w:name="ref-dattner2018"/>
    <w:p>
      <w:pPr>
        <w:pStyle w:val="Bibliography"/>
      </w:pPr>
      <w:r>
        <w:t xml:space="preserve">[23]</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5">
        <w:r>
          <w:rPr>
            <w:rStyle w:val="Hyperlink"/>
          </w:rPr>
          <w:t xml:space="preserve">https://doi.org/10.1111/stan.12124</w:t>
        </w:r>
      </w:hyperlink>
      <w:r>
        <w:t xml:space="preserve">.</w:t>
      </w:r>
    </w:p>
    <w:bookmarkEnd w:id="96"/>
    <w:bookmarkStart w:id="98" w:name="ref-bortz2023"/>
    <w:p>
      <w:pPr>
        <w:pStyle w:val="Bibliography"/>
      </w:pPr>
      <w:r>
        <w:t xml:space="preserve">[24]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97">
        <w:r>
          <w:rPr>
            <w:rStyle w:val="Hyperlink"/>
          </w:rPr>
          <w:t xml:space="preserve">https://doi.org/10.1007/s11538-023-01208-6</w:t>
        </w:r>
      </w:hyperlink>
      <w:r>
        <w:t xml:space="preserve">.</w:t>
      </w:r>
    </w:p>
    <w:bookmarkEnd w:id="98"/>
    <w:bookmarkStart w:id="100" w:name="ref-rummel2025"/>
    <w:p>
      <w:pPr>
        <w:pStyle w:val="Bibliography"/>
      </w:pPr>
      <w:r>
        <w:t xml:space="preserve">[25]</w:t>
      </w:r>
      <w:r>
        <w:t xml:space="preserve"> </w:t>
      </w:r>
      <w:r>
        <w:t xml:space="preserve">	</w:t>
      </w:r>
      <w:r>
        <w:t xml:space="preserve">Rummel N, Messenger DA, Becker S, Dukic V, Bortz DM.</w:t>
      </w:r>
      <w:r>
        <w:t xml:space="preserve"> </w:t>
      </w:r>
      <w:hyperlink r:id="rId9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100"/>
    <w:bookmarkStart w:id="102" w:name="ref-fuller1987"/>
    <w:p>
      <w:pPr>
        <w:pStyle w:val="Bibliography"/>
      </w:pPr>
      <w:r>
        <w:t xml:space="preserve">[26]</w:t>
      </w:r>
      <w:r>
        <w:t xml:space="preserve"> </w:t>
      </w:r>
      <w:r>
        <w:t xml:space="preserve">	</w:t>
      </w:r>
      <w:r>
        <w:t xml:space="preserve">Fuller WA. Measurement error models. Wiley (1987)</w:t>
      </w:r>
      <w:r>
        <w:t xml:space="preserve"> </w:t>
      </w:r>
      <w:hyperlink r:id="rId101">
        <w:r>
          <w:rPr>
            <w:rStyle w:val="Hyperlink"/>
          </w:rPr>
          <w:t xml:space="preserve">https://doi.org/10.1002/9780470316665</w:t>
        </w:r>
      </w:hyperlink>
      <w:r>
        <w:t xml:space="preserve">.</w:t>
      </w:r>
    </w:p>
    <w:bookmarkEnd w:id="102"/>
    <w:bookmarkStart w:id="104"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3">
        <w:r>
          <w:rPr>
            <w:rStyle w:val="Hyperlink"/>
          </w:rPr>
          <w:t xml:space="preserve">https://doi.org/10.1080/03610928908830159</w:t>
        </w:r>
      </w:hyperlink>
      <w:r>
        <w:t xml:space="preserve">.</w:t>
      </w:r>
    </w:p>
    <w:bookmarkEnd w:id="104"/>
    <w:bookmarkStart w:id="106"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5">
        <w:r>
          <w:rPr>
            <w:rStyle w:val="Hyperlink"/>
          </w:rPr>
          <w:t xml:space="preserve">https://doi.org/10.1007/978-3-032-16368-4_86</w:t>
        </w:r>
      </w:hyperlink>
      <w:r>
        <w:t xml:space="preserve">.</w:t>
      </w:r>
    </w:p>
    <w:bookmarkEnd w:id="106"/>
    <w:bookmarkStart w:id="108"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7">
        <w:r>
          <w:rPr>
            <w:rStyle w:val="Hyperlink"/>
          </w:rPr>
          <w:t xml:space="preserve">https://doi.org/10.1137/25M1776020</w:t>
        </w:r>
      </w:hyperlink>
      <w:r>
        <w:t xml:space="preserve">.</w:t>
      </w:r>
    </w:p>
    <w:bookmarkEnd w:id="108"/>
    <w:bookmarkStart w:id="110" w:name="ref-chen2026"/>
    <w:p>
      <w:pPr>
        <w:pStyle w:val="Bibliography"/>
      </w:pPr>
      <w:r>
        <w:t xml:space="preserve">[30]</w:t>
      </w:r>
      <w:r>
        <w:t xml:space="preserve"> </w:t>
      </w:r>
      <w:r>
        <w:t xml:space="preserve">	</w:t>
      </w:r>
      <w:r>
        <w:t xml:space="preserve">Chen Z, Fasel U, Bizyaeva A.</w:t>
      </w:r>
      <w:r>
        <w:t xml:space="preserve"> </w:t>
      </w:r>
      <w:hyperlink r:id="rId109">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10"/>
    <w:bookmarkStart w:id="112"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1">
        <w:r>
          <w:rPr>
            <w:rStyle w:val="Hyperlink"/>
          </w:rPr>
          <w:t xml:space="preserve">https://doi.org/10.1016/j.jcp.2025.114410</w:t>
        </w:r>
      </w:hyperlink>
      <w:r>
        <w:t xml:space="preserve">.</w:t>
      </w:r>
    </w:p>
    <w:bookmarkEnd w:id="112"/>
    <w:bookmarkStart w:id="114"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3">
        <w:r>
          <w:rPr>
            <w:rStyle w:val="Hyperlink"/>
          </w:rPr>
          <w:t xml:space="preserve">https://doi.org/10.1098/rspa.2021.0904</w:t>
        </w:r>
      </w:hyperlink>
      <w:r>
        <w:t xml:space="preserve">.</w:t>
      </w:r>
    </w:p>
    <w:bookmarkEnd w:id="114"/>
    <w:bookmarkStart w:id="116" w:name="ref-uhlenbeck1930"/>
    <w:p>
      <w:pPr>
        <w:pStyle w:val="Bibliography"/>
      </w:pPr>
      <w:r>
        <w:t xml:space="preserve">[33]</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115">
        <w:r>
          <w:rPr>
            <w:rStyle w:val="Hyperlink"/>
          </w:rPr>
          <w:t xml:space="preserve">https://doi.org/10.1103/PhysRev.36.823</w:t>
        </w:r>
      </w:hyperlink>
      <w:r>
        <w:t xml:space="preserve">.</w:t>
      </w:r>
    </w:p>
    <w:bookmarkEnd w:id="116"/>
    <w:bookmarkStart w:id="118" w:name="ref-cameron1944"/>
    <w:p>
      <w:pPr>
        <w:pStyle w:val="Bibliography"/>
      </w:pPr>
      <w:r>
        <w:t xml:space="preserve">[34]</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117">
        <w:r>
          <w:rPr>
            <w:rStyle w:val="Hyperlink"/>
          </w:rPr>
          <w:t xml:space="preserve">https://doi.org/10.2307/1969276</w:t>
        </w:r>
      </w:hyperlink>
      <w:r>
        <w:t xml:space="preserve">.</w:t>
      </w:r>
    </w:p>
    <w:bookmarkEnd w:id="118"/>
    <w:bookmarkStart w:id="120" w:name="ref-feldman1958"/>
    <w:p>
      <w:pPr>
        <w:pStyle w:val="Bibliography"/>
      </w:pPr>
      <w:r>
        <w:t xml:space="preserve">[35]</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119">
        <w:r>
          <w:rPr>
            <w:rStyle w:val="Hyperlink"/>
          </w:rPr>
          <w:t xml:space="preserve">https://doi.org/10.2140/pjm.1958.8.699</w:t>
        </w:r>
      </w:hyperlink>
      <w:r>
        <w:t xml:space="preserve">.</w:t>
      </w:r>
    </w:p>
    <w:bookmarkEnd w:id="120"/>
    <w:bookmarkStart w:id="122"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1">
        <w:r>
          <w:rPr>
            <w:rStyle w:val="Hyperlink"/>
          </w:rPr>
          <w:t xml:space="preserve">https://doi.org/10.1093/biomet/12.1-2.134</w:t>
        </w:r>
      </w:hyperlink>
      <w:r>
        <w:t xml:space="preserve">.</w:t>
      </w:r>
    </w:p>
    <w:bookmarkEnd w:id="122"/>
    <w:bookmarkEnd w:id="123"/>
    <w:bookmarkEnd w:id="12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97" Type="http://schemas.openxmlformats.org/officeDocument/2006/relationships/hyperlink" Target="https://doi.org/10.1007/s11538-023-01208-6" TargetMode="External"/><Relationship Id="rId53"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3" Type="http://schemas.openxmlformats.org/officeDocument/2006/relationships/hyperlink" Target="https://doi.org/10.1017/CBO9780511802256" TargetMode="External"/><Relationship Id="rId55" Type="http://schemas.openxmlformats.org/officeDocument/2006/relationships/hyperlink" Target="https://doi.org/10.1073/pnas.1517384113" TargetMode="External"/><Relationship Id="rId51"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79"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61" Type="http://schemas.openxmlformats.org/officeDocument/2006/relationships/hyperlink" Target="https://doi.org/10.1103/PhysRevE.101.010203" TargetMode="External"/><Relationship Id="rId57" Type="http://schemas.openxmlformats.org/officeDocument/2006/relationships/hyperlink" Target="https://doi.org/10.1103/PhysRevE.96.023302" TargetMode="External"/><Relationship Id="rId91" Type="http://schemas.openxmlformats.org/officeDocument/2006/relationships/hyperlink" Target="https://doi.org/10.1111/j.1467-9868.2007.00610.x" TargetMode="External"/><Relationship Id="rId95" Type="http://schemas.openxmlformats.org/officeDocument/2006/relationships/hyperlink" Target="https://doi.org/10.1111/stan.12124" TargetMode="External"/><Relationship Id="rId81" Type="http://schemas.openxmlformats.org/officeDocument/2006/relationships/hyperlink" Target="https://doi.org/10.1137/0903003" TargetMode="External"/><Relationship Id="rId59"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85" Type="http://schemas.openxmlformats.org/officeDocument/2006/relationships/hyperlink" Target="https://doi.org/10.1198/016214508000000797" TargetMode="External"/><Relationship Id="rId83" Type="http://schemas.openxmlformats.org/officeDocument/2006/relationships/hyperlink" Target="https://doi.org/10.1214/07-EJS132" TargetMode="External"/><Relationship Id="rId93"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89" Type="http://schemas.openxmlformats.org/officeDocument/2006/relationships/hyperlink" Target="https://doi.org/10.1214/15-EJS1053" TargetMode="External"/><Relationship Id="rId77"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87"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1"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97" Type="http://schemas.openxmlformats.org/officeDocument/2006/relationships/hyperlink" Target="https://doi.org/10.1007/s11538-023-01208-6" TargetMode="External"/><Relationship Id="rId53"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3" Type="http://schemas.openxmlformats.org/officeDocument/2006/relationships/hyperlink" Target="https://doi.org/10.1017/CBO9780511802256" TargetMode="External"/><Relationship Id="rId55" Type="http://schemas.openxmlformats.org/officeDocument/2006/relationships/hyperlink" Target="https://doi.org/10.1073/pnas.1517384113" TargetMode="External"/><Relationship Id="rId51"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79"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61" Type="http://schemas.openxmlformats.org/officeDocument/2006/relationships/hyperlink" Target="https://doi.org/10.1103/PhysRevE.101.010203" TargetMode="External"/><Relationship Id="rId57" Type="http://schemas.openxmlformats.org/officeDocument/2006/relationships/hyperlink" Target="https://doi.org/10.1103/PhysRevE.96.023302" TargetMode="External"/><Relationship Id="rId91" Type="http://schemas.openxmlformats.org/officeDocument/2006/relationships/hyperlink" Target="https://doi.org/10.1111/j.1467-9868.2007.00610.x" TargetMode="External"/><Relationship Id="rId95" Type="http://schemas.openxmlformats.org/officeDocument/2006/relationships/hyperlink" Target="https://doi.org/10.1111/stan.12124" TargetMode="External"/><Relationship Id="rId81" Type="http://schemas.openxmlformats.org/officeDocument/2006/relationships/hyperlink" Target="https://doi.org/10.1137/0903003" TargetMode="External"/><Relationship Id="rId59"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85" Type="http://schemas.openxmlformats.org/officeDocument/2006/relationships/hyperlink" Target="https://doi.org/10.1198/016214508000000797" TargetMode="External"/><Relationship Id="rId83" Type="http://schemas.openxmlformats.org/officeDocument/2006/relationships/hyperlink" Target="https://doi.org/10.1214/07-EJS132" TargetMode="External"/><Relationship Id="rId93"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89" Type="http://schemas.openxmlformats.org/officeDocument/2006/relationships/hyperlink" Target="https://doi.org/10.1214/15-EJS1053" TargetMode="External"/><Relationship Id="rId77" Type="http://schemas.openxmlformats.org/officeDocument/2006/relationships/hyperlink" Target="https://doi.org/10.1214/16-AOS1500" TargetMode="External"/><Relationship Id="rId6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87"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1"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2026-10-14T12:48:50Z</dcterms:created>
  <dcterms:modified xsi:type="dcterms:W3CDTF">2026-10-14T12:48:50Z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