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c5f4cda6d0f123e1a63a12b98e607ba5295ec93"/>
    <w:p>
      <w:pPr>
        <w:pStyle w:val="Heading1"/>
      </w:pPr>
      <w:r>
        <w:t xml:space="preserve">Fixed-noise weak GMM across independent records</w:t>
      </w:r>
    </w:p>
    <w:bookmarkStart w:id="12" w:name="Xf2000a883014d471c3a053854c12a1cf92c6fc5"/>
    <w:p>
      <w:pPr>
        <w:pStyle w:val="Heading2"/>
      </w:pPr>
      <w:r>
        <w:t xml:space="preserve">S14. Common-trajectory GMM reference and proof</w:t>
      </w:r>
    </w:p>
    <w:p>
      <w:pPr>
        <w:pStyle w:val="FirstParagraph"/>
      </w:pPr>
      <w:r>
        <w:t xml:space="preserve">The replicate asymptotic is distinct from single-path infill and from Corollary 1. Let</w:t>
      </w:r>
      <w:r>
        <w:t xml:space="preserve"> </w:t>
      </w:r>
      <m:oMath>
        <m:sSub>
          <m:e>
            <m:r>
              <m:t>Y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t>u</m:t>
            </m:r>
          </m:sub>
        </m:sSub>
        <m:r>
          <m:rPr>
            <m:sty m:val="p"/>
          </m:rPr>
          <m:t>+</m:t>
        </m:r>
        <m:sSub>
          <m:e>
            <m:r>
              <m:t>η</m:t>
            </m:r>
          </m:e>
          <m:sub>
            <m:r>
              <m:t>r</m:t>
            </m:r>
          </m:sub>
        </m:sSub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be independent copies on the same fixed interval. The deterministic trajectory and initial state are shared, the covariance is stationary Gaussian, and its amplitude is any fixed positive finite value. Assume a supplied polynomial vector field linear in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fixed collection of boundary-vanishing tests, and exact integrals. Write the Hermite-corrected weak moment as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,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b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G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(</m:t>
          </m:r>
          <m:r>
            <m:t>ν</m:t>
          </m:r>
          <m:r>
            <m:rPr>
              <m:sty m:val="p"/>
            </m:rPr>
            <m:t>)</m:t>
          </m:r>
          <m:r>
            <m:t>θ</m:t>
          </m:r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rPr>
              <m:sty m:val="p"/>
            </m:rPr>
            <m:t>=</m:t>
          </m:r>
          <m:r>
            <m:t>E</m:t>
          </m:r>
          <m:sSub>
            <m:e>
              <m:r>
                <m:t>G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(</m:t>
          </m:r>
          <m:sSub>
            <m:e>
              <m:r>
                <m:t>ν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E</m:t>
          </m:r>
          <m:sSub>
            <m:e>
              <m:r>
                <m:t>m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ν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contains the marginal variances used in the correction and any covariance-shape parameters. The expectation identity follows by the Gaussian heat/Hermite identity at every time, Fubini, and the deterministic weak ODE identity. It is exact at fixed noise; it does not assert that the ratio or least-squares estimator from one record is unbiased.</w:t>
      </w:r>
    </w:p>
    <w:p>
      <w:pPr>
        <w:pStyle w:val="BodyText"/>
      </w:pPr>
      <w:r>
        <w:rPr>
          <w:b/>
          <w:bCs/>
        </w:rPr>
        <w:t xml:space="preserve">Lemma 2 (fixed-noise independent-record GMM).</w:t>
      </w:r>
      <w:r>
        <w:t xml:space="preserve"> </w:t>
      </w:r>
      <w:r>
        <w:t xml:space="preserve">Suppose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column rank</w:t>
      </w:r>
      <w:r>
        <w:t xml:space="preserve"> </w:t>
      </w:r>
      <m:oMath>
        <m:r>
          <m:t>p</m:t>
        </m:r>
      </m:oMath>
      <w:r>
        <w:t xml:space="preserve">, the covariance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r</m:t>
            </m:r>
          </m:sub>
        </m:sSub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is positive definite, and moments have finite second moments. With known</w:t>
      </w:r>
      <w:r>
        <w:t xml:space="preserve"> </w:t>
      </w:r>
      <m:oMath>
        <m:sSub>
          <m:e>
            <m:r>
              <m:t>ν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random positive-definite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sSub>
          <m:e>
            <m:r>
              <m:rPr>
                <m:sty m:val="p"/>
              </m:rPr>
              <m:t>→</m:t>
            </m:r>
          </m:e>
          <m:sub>
            <m:r>
              <m:t>p</m:t>
            </m:r>
          </m:sub>
        </m:sSub>
        <m:r>
          <m:t>W</m:t>
        </m:r>
      </m:oMath>
      <w:r>
        <w:t xml:space="preserve">,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Sup>
            <m:e>
              <m:acc>
                <m:accPr>
                  <m:chr m:val="‾"/>
                </m:accPr>
                <m:e>
                  <m:r>
                    <m:t>G</m:t>
                  </m:r>
                </m:e>
              </m:acc>
            </m:e>
            <m:sub>
              <m:r>
                <m:t>n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sSub>
            <m:e>
              <m:r>
                <m:t>W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‾"/>
                </m:accPr>
                <m:e>
                  <m:r>
                    <m:t>G</m:t>
                  </m:r>
                </m:e>
              </m:acc>
            </m:e>
            <m:sub>
              <m:r>
                <m:t>n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Sup>
            <m:e>
              <m:acc>
                <m:accPr>
                  <m:chr m:val="‾"/>
                </m:accPr>
                <m:e>
                  <m:r>
                    <m:t>G</m:t>
                  </m:r>
                </m:e>
              </m:acc>
            </m:e>
            <m:sub>
              <m:r>
                <m:t>n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sSub>
            <m:e>
              <m:r>
                <m:t>W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‾"/>
                </m:accPr>
                <m:e>
                  <m:r>
                    <m:t>b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P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W</m:t>
          </m:r>
          <m:r>
            <m:t>D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W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sSub>
          <m:e>
            <m:r>
              <m:rPr>
                <m:sty m:val="p"/>
              </m:rPr>
              <m:t>→</m:t>
            </m:r>
          </m:e>
          <m:sub>
            <m:r>
              <m:t>p</m:t>
            </m:r>
          </m:sub>
        </m:sSub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ad>
            <m:radPr>
              <m:degHide m:val="on"/>
            </m:radPr>
            <m:deg/>
            <m:e>
              <m:r>
                <m:t>n</m:t>
              </m:r>
            </m:e>
          </m:rad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⇒</m:t>
          </m:r>
          <m: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V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Ω</m:t>
          </m:r>
          <m:sSubSup>
            <m:e>
              <m:r>
                <m:t>P</m:t>
              </m:r>
            </m:e>
            <m:sub>
              <m:r>
                <m:t>W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Within this fixed moment family and the corresponding regular linear GMM influence class,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minimizes covariance, giving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D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D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 For polynomial moments,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the full covariance from Proposition 3, including every nonzero Hermite order. Empirical residual covariance at a consistent preliminary estimate, or a consistent full model-based covariance, supplies feasible two-step weights. First-order covariance alone generally gives a different, nonoptimal</w:t>
      </w:r>
      <w:r>
        <w:t xml:space="preserve"> </w:t>
      </w:r>
      <m:oMath>
        <m:sSub>
          <m:e>
            <m:r>
              <m:t>V</m:t>
            </m:r>
          </m:e>
          <m:sub>
            <m:r>
              <m:t>W</m:t>
            </m:r>
          </m:sub>
        </m:sSub>
      </m:oMath>
      <w:r>
        <w:t xml:space="preserve"> </w:t>
      </w:r>
      <w:r>
        <w:t xml:space="preserve">at fixed noise. The theorem does not assert full-path likelihood efficiency at finite amplitude.</w:t>
      </w:r>
    </w:p>
    <w:p>
      <w:pPr>
        <w:pStyle w:val="BodyText"/>
      </w:pPr>
      <w:r>
        <w:t xml:space="preserve">For estimated</w:t>
      </w:r>
      <w:r>
        <w:t xml:space="preserve"> </w:t>
      </w:r>
      <m:oMath>
        <m:r>
          <m:t>ν</m:t>
        </m:r>
      </m:oMath>
      <w:r>
        <w:t xml:space="preserve">, additionally assume local differentiability and an asymptotically linear nuisance estimator</w:t>
      </w:r>
    </w:p>
    <w:p>
      <w:pPr>
        <w:pStyle w:val="BodyText"/>
      </w:pPr>
      <m:oMathPara>
        <m:oMathParaPr>
          <m:jc m:val="center"/>
        </m:oMathParaPr>
        <m:oMath>
          <m:rad>
            <m:radPr>
              <m:degHide m:val="on"/>
            </m:radPr>
            <m:deg/>
            <m:e>
              <m:r>
                <m:t>n</m:t>
              </m:r>
            </m:e>
          </m:rad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ν</m:t>
              </m:r>
            </m:e>
          </m:acc>
          <m:r>
            <m:rPr>
              <m:sty m:val="p"/>
            </m:rPr>
            <m:t>−</m:t>
          </m:r>
          <m:sSub>
            <m:e>
              <m:r>
                <m:t>ν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r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ξ</m:t>
                  </m:r>
                </m:e>
                <m:sub>
                  <m:r>
                    <m:t>r</m:t>
                  </m:r>
                </m:sub>
              </m:sSub>
            </m:e>
          </m:nary>
          <m:r>
            <m:rPr>
              <m:sty m:val="p"/>
            </m:rPr>
            <m:t>+</m:t>
          </m:r>
          <m:sSub>
            <m:e>
              <m:r>
                <m:t>o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E</m:t>
          </m:r>
          <m:sSub>
            <m:e>
              <m:r>
                <m:t>ξ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E</m:t>
          </m:r>
          <m:r>
            <m:rPr>
              <m:sty m:val="p"/>
            </m:rPr>
            <m:t>∥</m:t>
          </m:r>
          <m:sSub>
            <m:e>
              <m:r>
                <m:t>ξ</m:t>
              </m:r>
            </m:e>
            <m:sub>
              <m:r>
                <m:t>r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&lt;</m:t>
          </m:r>
          <m:r>
            <m:rPr>
              <m:sty m:val="p"/>
            </m:rPr>
            <m:t>∞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=</m:t>
          </m:r>
          <m:r>
            <m:t>E</m:t>
          </m:r>
          <m:sSub>
            <m:e>
              <m:r>
                <m:rPr>
                  <m:sty m:val="p"/>
                </m:rPr>
                <m:t>∂</m:t>
              </m:r>
            </m:e>
            <m:sub>
              <m:r>
                <m:t>ν</m:t>
              </m:r>
            </m:sub>
          </m:sSub>
          <m:sSub>
            <m:e>
              <m:r>
                <m:t>m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ν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 the corresponding sample derivative converges locally, with a uniform second-order Taylor remainder</w:t>
      </w:r>
      <w:r>
        <w:t xml:space="preserve"> </w:t>
      </w:r>
      <m:oMath>
        <m:sSub>
          <m:e>
            <m:r>
              <m:t>o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 Then the same closed-form estimator, evaluated at</w:t>
      </w:r>
      <w:r>
        <w:t xml:space="preserve"> </w:t>
      </w:r>
      <m:oMath>
        <m:acc>
          <m:accPr>
            <m:chr m:val="̂"/>
          </m:accPr>
          <m:e>
            <m:r>
              <m:t>ν</m:t>
            </m:r>
          </m:e>
        </m:acc>
      </m:oMath>
      <w:r>
        <w:t xml:space="preserve">, is consistent and asymptotically normal 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ψ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ν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sSub>
            <m:e>
              <m:r>
                <m:t>ξ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rPr>
                  <m:sty m:val="p"/>
                </m:rPr>
                <m:t>Ω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Cov</m:t>
          </m:r>
          <m:r>
            <m:rPr>
              <m:sty m:val="p"/>
            </m:rPr>
            <m:t>(</m:t>
          </m:r>
          <m:sSub>
            <m:e>
              <m:r>
                <m:t>ψ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W</m:t>
              </m:r>
            </m:sub>
          </m:sSub>
          <m:acc>
            <m:accPr>
              <m:chr m:val="̃"/>
            </m:accPr>
            <m:e>
              <m:r>
                <m:rPr>
                  <m:sty m:val="p"/>
                </m:rPr>
                <m:t>Ω</m:t>
              </m:r>
            </m:e>
          </m:acc>
          <m:sSubSup>
            <m:e>
              <m:r>
                <m:t>P</m:t>
              </m:r>
            </m:e>
            <m:sub>
              <m:r>
                <m:t>W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rPr>
                <m:sty m:val="p"/>
              </m:rPr>
              <m:t>Ω</m:t>
            </m:r>
          </m:e>
        </m:acc>
      </m:oMath>
      <w:r>
        <w:t xml:space="preserve"> </w:t>
      </w:r>
      <w:r>
        <w:t xml:space="preserve">is positive definite, estimated inverse</w:t>
      </w:r>
      <w:r>
        <w:t xml:space="preserve"> </w:t>
      </w:r>
      <m:oMath>
        <m:acc>
          <m:accPr>
            <m:chr m:val="̃"/>
          </m:accPr>
          <m:e>
            <m:r>
              <m:rPr>
                <m:sty m:val="p"/>
              </m:rPr>
              <m:t>Ω</m:t>
            </m:r>
          </m:e>
        </m:acc>
      </m:oMath>
      <w:r>
        <w:t xml:space="preserve"> </w:t>
      </w:r>
      <w:r>
        <w:t xml:space="preserve">is optimal</w:t>
      </w:r>
      <w:r>
        <w:t xml:space="preserve"> </w:t>
      </w:r>
      <w:r>
        <w:rPr>
          <w:b/>
          <w:bCs/>
        </w:rPr>
        <w:t xml:space="preserve">for this specified nuisance estimator and moment influence family</w:t>
      </w:r>
      <w:r>
        <w:t xml:space="preserve">. Its optimum is not generally the known-covariance optimum or the globally optimal joint GMM estimator. Estimating only a shape parameter that changes weights but not mean correction has zero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for that parameter; estimating a variance used in Hermite correction need not. A consistent empirical influence covariance, including cross-covariances between</w:t>
      </w:r>
      <w:r>
        <w:t xml:space="preserve"> </w:t>
      </w:r>
      <m:oMath>
        <m:sSub>
          <m:e>
            <m:r>
              <m:t>m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ξ</m:t>
            </m:r>
          </m:e>
          <m:sub>
            <m:r>
              <m:t>r</m:t>
            </m:r>
          </m:sub>
        </m:sSub>
      </m:oMath>
      <w:r>
        <w:t xml:space="preserve">, yields marginal Wald intervals and joint ellipsoids with asymptotic nominal coverage. These are standard GMM and two-step-estimation arguments specialized to the weak Hermite moments</w:t>
      </w:r>
      <w:r>
        <w:t xml:space="preserve"> </w:t>
      </w:r>
      <w:r>
        <w:t xml:space="preserve">[1, 2]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Polynomial Gaussian functionals on a bounded interval with continuous deterministic mean have moments of all finite orders; bounded test functions allow the required exchanges of integration and expectation. For known covariance, the law of large numbers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G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D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b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D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 and convergence of the inverse normal matrix. The exact identity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‾"/>
                </m:accPr>
                <m:e>
                  <m:r>
                    <m:t>m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ν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the iid multivariate CLT give the stated limit, without a small-noise expansion. If</w:t>
      </w:r>
      <w:r>
        <w:t xml:space="preserve"> </w:t>
      </w:r>
      <m:oMath>
        <m:r>
          <m:t>P</m:t>
        </m:r>
        <m:r>
          <m:t>D</m:t>
        </m:r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p</m:t>
            </m:r>
          </m:sub>
        </m:sSub>
      </m:oMath>
      <w:r>
        <w:t xml:space="preserve">, set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D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D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D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Ω</m:t>
          </m:r>
          <m:sSup>
            <m:e>
              <m: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rPr>
                  <m:sty m:val="p"/>
                </m:rPr>
                <m:t>*</m:t>
              </m:r>
            </m:sub>
          </m:sSub>
          <m:r>
            <m:rPr>
              <m:sty m:val="p"/>
            </m:rPr>
            <m:t>Ω</m:t>
          </m:r>
          <m:sSubSup>
            <m:e>
              <m:r>
                <m:t>P</m:t>
              </m:r>
            </m:e>
            <m:sub>
              <m:r>
                <m:rPr>
                  <m:sty m:val="p"/>
                </m:rPr>
                <m:t>*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rPr>
                  <m:sty m:val="p"/>
                </m:rPr>
                <m:t>*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Ω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rPr>
                  <m:sty m:val="p"/>
                </m:rPr>
                <m:t>*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≽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the cross terms vanish. A consistent preliminary least-squares estimate makes the empirical covariance converge to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by the law of large numbers and polynomial continuity. In the nuisance case, the stipulated Taylor expansion gives</w:t>
      </w:r>
    </w:p>
    <w:p>
      <w:pPr>
        <w:pStyle w:val="BodyText"/>
      </w:pPr>
      <m:oMathPara>
        <m:oMathParaPr>
          <m:jc m:val="center"/>
        </m:oMathParaPr>
        <m:oMath>
          <m:rad>
            <m:radPr>
              <m:degHide m:val="on"/>
            </m:radPr>
            <m:deg/>
            <m:e>
              <m:r>
                <m:t>n</m:t>
              </m:r>
            </m:e>
          </m:rad>
          <m:sSub>
            <m:e>
              <m:acc>
                <m:accPr>
                  <m:chr m:val="‾"/>
                </m:accPr>
                <m:e>
                  <m:r>
                    <m:t>m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ν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[</m:t>
              </m:r>
            </m:e>
          </m:nary>
          <m:sSub>
            <m:e>
              <m:r>
                <m:t>m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ν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sSub>
            <m:e>
              <m:r>
                <m:t>ξ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sSub>
            <m:e>
              <m:r>
                <m:t>o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random design and random weights multiply a</w:t>
      </w:r>
      <w:r>
        <w:t xml:space="preserve"> </w:t>
      </w:r>
      <m:oMath>
        <m:sSub>
          <m:e>
            <m:r>
              <m:t>O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centered mean, so their consistency suffices for the leading map. Apply the joint CLT 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r>
              <m:t>ξ</m:t>
            </m:r>
          </m:e>
          <m:sub>
            <m:r>
              <m:t>r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 same covariance decomposition using</w:t>
      </w:r>
      <w:r>
        <w:t xml:space="preserve"> </w:t>
      </w:r>
      <m:oMath>
        <m:acc>
          <m:accPr>
            <m:chr m:val="̃"/>
          </m:accPr>
          <m:e>
            <m:r>
              <m:rPr>
                <m:sty m:val="p"/>
              </m:rPr>
              <m:t>Ω</m:t>
            </m:r>
          </m:e>
        </m:acc>
      </m:oMath>
      <w:r>
        <w:t xml:space="preserve">. Consistency of the sandwich and coverage follow by Slutsky. This proves the assertions.</w:t>
      </w:r>
    </w:p>
    <w:p>
      <w:pPr>
        <w:pStyle w:val="BodyText"/>
      </w:pPr>
      <w:r>
        <w:rPr>
          <w:b/>
          <w:bCs/>
        </w:rPr>
        <w:t xml:space="preserve">Numerical quadrature condition.</w:t>
      </w:r>
      <w:r>
        <w:t xml:space="preserve"> </w:t>
      </w:r>
      <w:r>
        <w:t xml:space="preserve">On a fixed discrete grid, Hermite correction is still unbiased for the corresponding</w:t>
      </w:r>
      <w:r>
        <w:t xml:space="preserve"> </w:t>
      </w:r>
      <w:r>
        <w:rPr>
          <w:i/>
          <w:iCs/>
        </w:rPr>
        <w:t xml:space="preserve">quadrature moment</w:t>
      </w:r>
      <w:r>
        <w:t xml:space="preserve">. Its deterministic expectation is the weak quadrature defect, which is generally nonzero at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 Consistency for the continuous ODE therefore requires exact integration or vanishing defect. In a triangular array, require</w:t>
      </w:r>
      <w:r>
        <w:t xml:space="preserve"> </w:t>
      </w:r>
      <m:oMath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∥</m:t>
        </m:r>
        <m:r>
          <m:t>E</m:t>
        </m:r>
        <m:sSub>
          <m:e>
            <m:r>
              <m:t>m</m:t>
            </m:r>
          </m:e>
          <m:sub>
            <m:r>
              <m:t>r</m:t>
            </m:r>
            <m:r>
              <m:rPr>
                <m:sty m:val="p"/>
              </m:rPr>
              <m:t>,</m:t>
            </m:r>
            <m:sSub>
              <m:e>
                <m:r>
                  <m:t>h</m:t>
                </m:r>
              </m:e>
              <m:sub>
                <m:r>
                  <m:t>n</m:t>
                </m:r>
              </m:sub>
            </m:sSub>
          </m:sub>
        </m:sSub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∥</m:t>
        </m:r>
        <m:r>
          <m:rPr>
            <m:sty m:val="p"/>
          </m:rPr>
          <m:t>→</m:t>
        </m:r>
        <m:r>
          <m:t>0</m:t>
        </m:r>
      </m:oMath>
      <w:r>
        <w:t xml:space="preserve">, convergence of designs and covariance, and uniform integrability sufficient for the triangular CLT and nuisance remainder. Mean-square convergence of quadrature moments to their continuous versions gives the stochastic part for this fixed test family. This condition concerns grid refinement with independent records; it does not prove a joint growing-window/small-noise rate. The numerical experiment uses a fixed fine grid and discloses its clean defect rather than claiming literal fixed-grid consistency for the ODE parameter.</w:t>
      </w:r>
    </w:p>
    <w:bookmarkStart w:id="9" w:name="Xcf09043dac8933a1d41e60a79b7d595e843c20a"/>
    <w:p>
      <w:pPr>
        <w:pStyle w:val="Heading3"/>
      </w:pPr>
      <w:r>
        <w:t xml:space="preserve">S14.1. Consistent OU shape from independent copies</w:t>
      </w:r>
    </w:p>
    <w:p>
      <w:pPr>
        <w:pStyle w:val="FirstParagraph"/>
      </w:pPr>
      <w:r>
        <w:t xml:space="preserve">For even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, define independent pairs</w:t>
      </w:r>
      <w:r>
        <w:t xml:space="preserve"> </w:t>
      </w:r>
      <m:oMath>
        <m:sSub>
          <m:e>
            <m:r>
              <m:t>d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  <m:r>
              <m:t>r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 Their common deterministic mean cancels and</w:t>
      </w:r>
      <w:r>
        <w:t xml:space="preserve"> </w:t>
      </w:r>
      <m:oMath>
        <m:sSub>
          <m:e>
            <m:r>
              <m:t>d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has the original stationary OU covariance. At a fixed nondegenerate grid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 mesh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r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L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L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</m:t>
          </m:r>
          <m:sSub>
            <m:e>
              <m:r>
                <m:t>a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  <m:r>
                <m:rPr>
                  <m:sty m:val="p"/>
                </m:rPr>
                <m:t>,</m:t>
              </m:r>
              <m:r>
                <m:t>i</m:t>
              </m:r>
              <m:r>
                <m:rPr>
                  <m:sty m:val="p"/>
                </m:rPr>
                <m:t>&lt;</m:t>
              </m:r>
              <m:r>
                <m:t>L</m:t>
              </m:r>
            </m:sub>
            <m:sup>
              <m:r>
                <m:t>​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sSub>
            <m:e>
              <m:r>
                <m:t>d</m:t>
              </m:r>
            </m:e>
            <m:sub>
              <m:r>
                <m:t>r</m:t>
              </m:r>
              <m:r>
                <m:t>j</m:t>
              </m:r>
            </m:sub>
          </m:sSub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  <m:r>
                <m:rPr>
                  <m:sty m:val="p"/>
                </m:rPr>
                <m:t>,</m:t>
              </m:r>
              <m:r>
                <m:t>i</m:t>
              </m:r>
              <m:r>
                <m:rPr>
                  <m:sty m:val="p"/>
                </m:rPr>
                <m:t>&lt;</m:t>
              </m:r>
              <m:r>
                <m:t>L</m:t>
              </m:r>
            </m:sub>
            <m:sup>
              <m:r>
                <m:t>​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sSub>
              <m:e>
                <m:r>
                  <m:t>s</m:t>
                </m:r>
              </m:e>
              <m:sub>
                <m:r>
                  <m:t>r</m:t>
                </m:r>
                <m:r>
                  <m:t>j</m:t>
                </m:r>
              </m:sub>
            </m:sSub>
          </m:e>
        </m:nary>
        <m:r>
          <m:rPr>
            <m:sty m:val="p"/>
          </m:rPr>
          <m:t>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ρ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/</m:t>
        </m:r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/</m:t>
            </m:r>
            <m:r>
              <m:t>τ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̂"/>
          </m:accPr>
          <m:e>
            <m:r>
              <m:t>τ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/</m:t>
        </m:r>
        <m:r>
          <m:rPr>
            <m:sty m:val="p"/>
          </m:rPr>
          <m:t>log</m:t>
        </m:r>
        <m:acc>
          <m:accPr>
            <m:chr m:val="̂"/>
          </m:accPr>
          <m:e>
            <m:r>
              <m:t>ρ</m:t>
            </m:r>
          </m:e>
        </m:acc>
        <m:r>
          <m:rPr>
            <m:sty m:val="p"/>
          </m:rPr>
          <m:t>→</m:t>
        </m:r>
        <m:r>
          <m:t>τ</m:t>
        </m:r>
      </m:oMath>
      <w:r>
        <w:t xml:space="preserve">. Their joint</w:t>
      </w:r>
      <w:r>
        <w:t xml:space="preserve"> </w:t>
      </w:r>
      <m:oMath>
        <m:rad>
          <m:radPr>
            <m:degHide m:val="on"/>
          </m:radPr>
          <m:deg/>
          <m:e>
            <m:r>
              <m:t>B</m:t>
            </m:r>
          </m:e>
        </m:rad>
      </m:oMath>
      <w:r>
        <w:t xml:space="preserve"> </w:t>
      </w:r>
      <w:r>
        <w:t xml:space="preserve">normality follows from the independent-pair CLT and the delta method; dependence of time points is retained inside each pair. Positivity of variances 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ρ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make the transformation regular. The influence for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 and for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r</m:t>
            </m:r>
          </m:sub>
        </m:sSub>
        <m:r>
          <m:rPr>
            <m:sty m:val="p"/>
          </m:rPr>
          <m:t>−</m:t>
        </m:r>
        <m:r>
          <m:t>ρ</m:t>
        </m:r>
        <m:sSub>
          <m:e>
            <m:r>
              <m:t>c</m:t>
            </m:r>
          </m:e>
          <m:sub>
            <m:r>
              <m:t>r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E</m:t>
        </m:r>
        <m:sSub>
          <m:e>
            <m:r>
              <m:t>c</m:t>
            </m:r>
          </m:e>
          <m:sub>
            <m:r>
              <m:t>r</m:t>
            </m:r>
          </m:sub>
        </m:sSub>
      </m:oMath>
      <w:r>
        <w:t xml:space="preserve">; the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influence is</w:t>
      </w:r>
      <w:r>
        <w:t xml:space="preserve"> </w:t>
      </w:r>
      <m:oMath>
        <m:r>
          <m:t>h</m:t>
        </m:r>
        <m:sSub>
          <m:e>
            <m:r>
              <m:t>ξ</m:t>
            </m:r>
          </m:e>
          <m:sub>
            <m:r>
              <m:t>ρ</m:t>
            </m:r>
            <m:r>
              <m:rPr>
                <m:sty m:val="p"/>
              </m:rPr>
              <m:t>,</m:t>
            </m:r>
            <m:r>
              <m:t>r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[</m:t>
        </m:r>
        <m:r>
          <m:t>ρ</m:t>
        </m:r>
        <m:r>
          <m:rPr>
            <m:sty m:val="p"/>
          </m:rPr>
          <m:t>(</m:t>
        </m:r>
        <m:r>
          <m:rPr>
            <m:sty m:val="p"/>
          </m:rPr>
          <m:t>log</m:t>
        </m:r>
        <m:r>
          <m:t>ρ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. If finite-sample clipping is needed, any fixed bounds containing the true parameters in their interior are asymptotically inactive and must be reported.</w:t>
      </w:r>
    </w:p>
    <w:p>
      <w:pPr>
        <w:pStyle w:val="BodyText"/>
      </w:pPr>
      <w:r>
        <w:t xml:space="preserve">Use pair-averaged weak moments for inference, so the theorem applies with sample size</w:t>
      </w:r>
      <w:r>
        <w:t xml:space="preserve"> </w:t>
      </w:r>
      <m:oMath>
        <m:r>
          <m:t>B</m:t>
        </m:r>
      </m:oMath>
      <w:r>
        <w:t xml:space="preserve">, independent pair influences, and variance divided by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. In Van der Pol the only correction derivative is</w:t>
      </w:r>
      <w:r>
        <w:t xml:space="preserve"> </w:t>
      </w:r>
      <m:oMath>
        <m:sSub>
          <m:e>
            <m:r>
              <m:t>H</m:t>
            </m:r>
          </m:e>
          <m:sub>
            <m:sSub>
              <m:e>
                <m:r>
                  <m:t>v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2</m:t>
            </m:r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4</m:t>
            </m:r>
          </m:sub>
        </m:sSub>
        <m:r>
          <m:t>E</m:t>
        </m:r>
        <m:r>
          <m:rPr>
            <m:sty m:val="p"/>
          </m:rPr>
          <m:t>∫</m:t>
        </m:r>
        <m:sSub>
          <m:e>
            <m:r>
              <m:t>ϕ</m:t>
            </m:r>
          </m:e>
          <m:sub>
            <m:r>
              <m:t>k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; the other rows and variance/shape derivatives are zero. Thus the empirical covariance of pair residuals plus this derivative times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r</m:t>
            </m:r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supplies the nuisance-adjusted weights and sandwich. Averaging pair differences for shape estimation requires a common deterministic mean; heterogeneous initial conditions would require a different construction. Replication permits separate OU variance and range consistency that is unavailable under fixed-horizon infill of one observed path.</w:t>
      </w:r>
    </w:p>
    <w:bookmarkEnd w:id="9"/>
    <w:bookmarkStart w:id="10" w:name="s14.2.-why-stacking-can-retain-bias"/>
    <w:p>
      <w:pPr>
        <w:pStyle w:val="Heading3"/>
      </w:pPr>
      <w:r>
        <w:t xml:space="preserve">S14.2. Why stacking can retain bias</w:t>
      </w:r>
    </w:p>
    <w:p>
      <w:pPr>
        <w:pStyle w:val="FirstParagraph"/>
      </w:pPr>
      <w:r>
        <w:t xml:space="preserve">Stacked corrected least squares converges, when its normal matrix is nonsingular, to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θ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{</m:t>
          </m:r>
          <m:r>
            <m:t>E</m:t>
          </m:r>
          <m:r>
            <m:rPr>
              <m:sty m:val="p"/>
            </m:rPr>
            <m:t>(</m:t>
          </m:r>
          <m:sSubSup>
            <m:e>
              <m:r>
                <m:t>G</m:t>
              </m:r>
            </m:e>
            <m:sub>
              <m:r>
                <m:t>r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sSub>
            <m:e>
              <m:r>
                <m:t>G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}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E</m:t>
          </m:r>
          <m:r>
            <m:rPr>
              <m:sty m:val="p"/>
            </m:rPr>
            <m:t>[</m:t>
          </m:r>
          <m:sSubSup>
            <m:e>
              <m:r>
                <m:t>G</m:t>
              </m:r>
            </m:e>
            <m:sub>
              <m:r>
                <m:t>r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sSub>
            <m:e>
              <m:r>
                <m:t>m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ν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Exact</w:t>
      </w:r>
      <w:r>
        <w:t xml:space="preserve"> </w:t>
      </w:r>
      <m:oMath>
        <m:r>
          <m:t>E</m:t>
        </m:r>
        <m:sSub>
          <m:e>
            <m:r>
              <m:t>m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bSup>
          <m:e>
            <m:r>
              <m:t>G</m:t>
            </m:r>
          </m:e>
          <m:sub>
            <m:r>
              <m:t>r</m:t>
            </m:r>
          </m:sub>
          <m:sup>
            <m:r>
              <m:rPr>
                <m:sty m:val="p"/>
              </m:rPr>
              <m:t>⊤</m:t>
            </m:r>
          </m:sup>
        </m:sSubSup>
        <m:sSub>
          <m:e>
            <m:r>
              <m:t>m</m:t>
            </m:r>
          </m:e>
          <m:sub>
            <m:r>
              <m:t>r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since the design and residual share measurement error. Stacking is therefore generally biased and inconsistent in this errors-in-variables setting; special orthogonality exceptions are possible. Averaged-moment GMM instead uses</w:t>
      </w:r>
      <w:r>
        <w:t xml:space="preserve"> </w:t>
      </w:r>
      <m:oMath>
        <m:sSubSup>
          <m:e>
            <m:acc>
              <m:accPr>
                <m:chr m:val="‾"/>
              </m:accPr>
              <m:e>
                <m:r>
                  <m:t>G</m:t>
                </m:r>
              </m:e>
            </m:acc>
          </m:e>
          <m:sub>
            <m:r>
              <m:t>n</m:t>
            </m:r>
          </m:sub>
          <m:sup>
            <m:r>
              <m:rPr>
                <m:sty m:val="p"/>
              </m:rPr>
              <m:t>⊤</m:t>
            </m:r>
          </m:sup>
        </m:sSubSup>
        <m:sSub>
          <m:e>
            <m:r>
              <m:t>W</m:t>
            </m:r>
          </m:e>
          <m:sub>
            <m:r>
              <m:t>n</m:t>
            </m:r>
          </m:sub>
        </m:sSub>
        <m:sSub>
          <m:e>
            <m:acc>
              <m:accPr>
                <m:chr m:val="‾"/>
              </m:accPr>
              <m:e>
                <m:r>
                  <m:t>m</m:t>
                </m:r>
              </m:e>
            </m:acc>
          </m:e>
          <m:sub>
            <m:r>
              <m:t>n</m:t>
            </m:r>
          </m:sub>
        </m:sSub>
      </m:oMath>
      <w:r>
        <w:t xml:space="preserve">, whose probability limit is zero at the true parameter. The stacking behavior in Table S11 is an instance of this distinction, not a claim that every stacked regression must be inconsistent.</w:t>
      </w:r>
    </w:p>
    <w:p>
      <w:pPr>
        <w:pStyle w:val="BodyText"/>
      </w:pPr>
      <w:r>
        <w:t xml:space="preserve">With known covariance, the same argument extends to iid random initial states sharing the coefficient vector, provided the conditional weak identity, full-rank mean design and finite moments hold. This covers the mechanism in the heterogeneous-initial-state aggregation example. The pair-difference nuisance estimator above still requires a common deterministic mean and is not applied to that heterogeneous example.</w:t>
      </w:r>
    </w:p>
    <w:bookmarkEnd w:id="10"/>
    <w:bookmarkStart w:id="11" w:name="s14.3.-misspecified-temporal-weighting"/>
    <w:p>
      <w:pPr>
        <w:pStyle w:val="Heading3"/>
      </w:pPr>
      <w:r>
        <w:t xml:space="preserve">S14.3. Misspecified temporal weighting</w:t>
      </w:r>
    </w:p>
    <w:p>
      <w:pPr>
        <w:pStyle w:val="FirstParagraph"/>
      </w:pPr>
      <w:r>
        <w:t xml:space="preserve">For known marginal correction and any nonsingular assumed temporal shape, the fixed-family variance is the sandwich</w:t>
      </w:r>
      <w:r>
        <w:t xml:space="preserve"> </w:t>
      </w:r>
      <m:oMath>
        <m:sSub>
          <m:e>
            <m:r>
              <m:t>P</m:t>
            </m:r>
          </m:e>
          <m:sub>
            <m:r>
              <m:t>W</m:t>
            </m:r>
          </m:sub>
        </m:sSub>
        <m:sSub>
          <m:e>
            <m:r>
              <m:rPr>
                <m:sty m:val="p"/>
              </m:rPr>
              <m:t>Ω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e</m:t>
            </m:r>
          </m:sub>
        </m:sSub>
        <m:sSubSup>
          <m:e>
            <m:r>
              <m:t>P</m:t>
            </m:r>
          </m:e>
          <m:sub>
            <m:r>
              <m:t>W</m:t>
            </m:r>
          </m:sub>
          <m:sup>
            <m:r>
              <m:rPr>
                <m:sty m:val="p"/>
              </m:rPr>
              <m:t>⊤</m:t>
            </m:r>
          </m:sup>
        </m:sSubSup>
        <m:r>
          <m:rPr>
            <m:sty m:val="p"/>
          </m:rPr>
          <m:t>/</m:t>
        </m:r>
        <m:r>
          <m:t>n</m:t>
        </m:r>
      </m:oMath>
      <w:r>
        <w:t xml:space="preserve">. In the small-noise single-record setting replace</w:t>
      </w:r>
      <w:r>
        <w:t xml:space="preserve"> </w:t>
      </w:r>
      <m:oMath>
        <m:sSub>
          <m:e>
            <m:r>
              <m:rPr>
                <m:sty m:val="p"/>
              </m:rPr>
              <m:t>Ω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e</m:t>
            </m:r>
          </m:sub>
        </m:sSub>
      </m:oMath>
      <w:r>
        <w:t xml:space="preserve"> </w:t>
      </w:r>
      <w:r>
        <w:t xml:space="preserve">with the order-one covariance and the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ϵ</m:t>
            </m:r>
          </m:e>
          <m:sup>
            <m:r>
              <m:t>2</m:t>
            </m:r>
          </m:sup>
        </m:sSup>
      </m:oMath>
      <w:r>
        <w:t xml:space="preserve">. Correct marginal correction preserves averaged-moment consistency even if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wrong; a wrong variance used for Hermite correction can destroy the moment identity. The finite-noise fitted-shape rows in S12 change both correction and weights and cannot be read as a pure temporal-weighting experiment. The</w:t>
      </w:r>
      <w:r>
        <w:t xml:space="preserve"> </w:t>
      </w:r>
      <m:oMath>
        <m:r>
          <m:t>τ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t>τ</m:t>
        </m:r>
      </m:oMath>
      <w:r>
        <w:t xml:space="preserve"> </w:t>
      </w:r>
      <w:r>
        <w:t xml:space="preserve">rows retain the true marginal variances.</w:t>
      </w:r>
    </w:p>
    <w:bookmarkEnd w:id="11"/>
    <w:bookmarkEnd w:id="12"/>
    <w:bookmarkStart w:id="18" w:name="references"/>
    <w:p>
      <w:pPr>
        <w:pStyle w:val="Heading2"/>
      </w:pPr>
      <w:r>
        <w:t xml:space="preserve">References</w:t>
      </w:r>
    </w:p>
    <w:bookmarkStart w:id="17" w:name="refs"/>
    <w:bookmarkStart w:id="14" w:name="ref-hansen1982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Hansen LP. Large sample properties of generalized method of moments estimators.</w:t>
      </w:r>
      <w:r>
        <w:t xml:space="preserve"> </w:t>
      </w:r>
      <w:r>
        <w:rPr>
          <w:i/>
          <w:iCs/>
        </w:rPr>
        <w:t xml:space="preserve">Econometrica</w:t>
      </w:r>
      <w:r>
        <w:t xml:space="preserve"> </w:t>
      </w:r>
      <w:r>
        <w:t xml:space="preserve">50 (1982) 1029–1054.</w:t>
      </w:r>
      <w:r>
        <w:t xml:space="preserve"> </w:t>
      </w:r>
      <w:hyperlink r:id="rId13">
        <w:r>
          <w:rPr>
            <w:rStyle w:val="Hyperlink"/>
          </w:rPr>
          <w:t xml:space="preserve">https://doi.org/10.2307/1912775</w:t>
        </w:r>
      </w:hyperlink>
      <w:r>
        <w:t xml:space="preserve">.</w:t>
      </w:r>
    </w:p>
    <w:bookmarkEnd w:id="14"/>
    <w:bookmarkStart w:id="16" w:name="ref-newey1994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Newey WK, McFadden D. Large sample estimation and hypothesis testing.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 </w:t>
      </w:r>
      <w:r>
        <w:t xml:space="preserve">Elsevier 4 (1994) 2111–2245.</w:t>
      </w:r>
      <w:r>
        <w:t xml:space="preserve"> </w:t>
      </w:r>
      <w:hyperlink r:id="rId15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16"/>
    <w:bookmarkEnd w:id="17"/>
    <w:bookmarkEnd w:id="18"/>
    <w:bookmarkEnd w:id="19"/>
    <w:sectPr>
      <w:footnotePr>
        <w:numRestart w:val="eachSect"/>
      </w:footnotePr>
      <w:pgSz w:w="11906" w:h="16838"/>
      <w:pgMar w:left="1304" w:right="13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https://doi.org/10.1016/S1573-4412(05)80005-4" TargetMode="External"/><Relationship Id="rId13" Type="http://schemas.openxmlformats.org/officeDocument/2006/relationships/hyperlink" Target="https://doi.org/10.2307/1912775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https://doi.org/10.1016/S1573-4412(05)80005-4" TargetMode="External"/><Relationship Id="rId13" Type="http://schemas.openxmlformats.org/officeDocument/2006/relationships/hyperlink" Target="https://doi.org/10.2307/191277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2026-10-12T09:42:11Z</dcterms:created>
  <dcterms:modified xsi:type="dcterms:W3CDTF">2026-10-12T09:42:11Z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D:\new_state\research_sampling_wsindy\manuscript\publication_references.bib</vt:lpwstr>
  </property>
  <property fmtid="{D5CDD505-2E9C-101B-9397-08002B2CF9AE}" pid="3" name="csl">
    <vt:lpwstr>D:\new_state\research_sampling_wsindy\manuscript\numeric.csl</vt:lpwstr>
  </property>
</Properties>
</file>