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bookmarkStart w:id="10"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9" w:name="s1.1.-proof-of-theorem-1"/>
    <w:p>
      <w:pPr>
        <w:pStyle w:val="Heading3"/>
      </w:pPr>
      <w:r>
        <w:t xml:space="preserve">S1.1. Proof of Theorem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9"/>
    <w:bookmarkEnd w:id="10"/>
    <w:bookmarkStart w:id="11"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11"/>
    <w:bookmarkStart w:id="12"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2"/>
    <w:bookmarkStart w:id="13"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[4, 5]</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3"/>
    <w:bookmarkStart w:id="14"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4"/>
    <w:bookmarkStart w:id="15"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[4–6]</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5"/>
    <w:bookmarkStart w:id="16"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6"/>
    <w:bookmarkStart w:id="17"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Corollary 1.</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7"/>
    <w:bookmarkStart w:id="48" w:name="s9.-supporting-numerical-validation"/>
    <w:p>
      <w:pPr>
        <w:pStyle w:val="Heading2"/>
      </w:pPr>
      <w:r>
        <w:t xml:space="preserve">S9. Supporting numerical validation</w:t>
      </w:r>
    </w:p>
    <w:bookmarkStart w:id="21"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9" name="Picture"/>
            <a:graphic>
              <a:graphicData uri="http://schemas.openxmlformats.org/drawingml/2006/picture">
                <pic:pic>
                  <pic:nvPicPr>
                    <pic:cNvPr descr="figures/publication/information_and_likelihood.png" id="20" name="Picture"/>
                    <pic:cNvPicPr>
                      <a:picLocks noChangeArrowheads="1" noChangeAspect="1"/>
                    </pic:cNvPicPr>
                  </pic:nvPicPr>
                  <pic:blipFill>
                    <a:blip r:embed="rId18"/>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21"/>
    <w:bookmarkStart w:id="28"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3" name="Picture"/>
            <a:graphic>
              <a:graphicData uri="http://schemas.openxmlformats.org/drawingml/2006/picture">
                <pic:pic>
                  <pic:nvPicPr>
                    <pic:cNvPr descr="figures/publication/sparse_refinement.png" id="24" name="Picture"/>
                    <pic:cNvPicPr>
                      <a:picLocks noChangeArrowheads="1" noChangeAspect="1"/>
                    </pic:cNvPicPr>
                  </pic:nvPicPr>
                  <pic:blipFill>
                    <a:blip r:embed="rId22"/>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6" name="Picture"/>
            <a:graphic>
              <a:graphicData uri="http://schemas.openxmlformats.org/drawingml/2006/picture">
                <pic:pic>
                  <pic:nvPicPr>
                    <pic:cNvPr descr="figures/publication/support_conditional.png" id="27" name="Picture"/>
                    <pic:cNvPicPr>
                      <a:picLocks noChangeArrowheads="1" noChangeAspect="1"/>
                    </pic:cNvPicPr>
                  </pic:nvPicPr>
                  <pic:blipFill>
                    <a:blip r:embed="rId25"/>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8"/>
    <w:bookmarkStart w:id="35"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30" name="Picture"/>
            <a:graphic>
              <a:graphicData uri="http://schemas.openxmlformats.org/drawingml/2006/picture">
                <pic:pic>
                  <pic:nvPicPr>
                    <pic:cNvPr descr="figures/publication/coefficient_covariance.png" id="31" name="Picture"/>
                    <pic:cNvPicPr>
                      <a:picLocks noChangeArrowheads="1" noChangeAspect="1"/>
                    </pic:cNvPicPr>
                  </pic:nvPicPr>
                  <pic:blipFill>
                    <a:blip r:embed="rId29"/>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3" name="Picture"/>
            <a:graphic>
              <a:graphicData uri="http://schemas.openxmlformats.org/drawingml/2006/picture">
                <pic:pic>
                  <pic:nvPicPr>
                    <pic:cNvPr descr="figures/publication/covariance_null.png" id="34" name="Picture"/>
                    <pic:cNvPicPr>
                      <a:picLocks noChangeArrowheads="1" noChangeAspect="1"/>
                    </pic:cNvPicPr>
                  </pic:nvPicPr>
                  <pic:blipFill>
                    <a:blip r:embed="rId32"/>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5"/>
    <w:bookmarkStart w:id="39"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7" name="Picture"/>
            <a:graphic>
              <a:graphicData uri="http://schemas.openxmlformats.org/drawingml/2006/picture">
                <pic:pic>
                  <pic:nvPicPr>
                    <pic:cNvPr descr="figures/publication/heterogeneous_recordings.png" id="38" name="Picture"/>
                    <pic:cNvPicPr>
                      <a:picLocks noChangeArrowheads="1" noChangeAspect="1"/>
                    </pic:cNvPicPr>
                  </pic:nvPicPr>
                  <pic:blipFill>
                    <a:blip r:embed="rId36"/>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9"/>
    <w:bookmarkStart w:id="40"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40"/>
    <w:bookmarkStart w:id="44"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[4–6]</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2" name="Picture"/>
            <a:graphic>
              <a:graphicData uri="http://schemas.openxmlformats.org/drawingml/2006/picture">
                <pic:pic>
                  <pic:nvPicPr>
                    <pic:cNvPr descr="figures/publication/full_adaptive.png" id="43" name="Picture"/>
                    <pic:cNvPicPr>
                      <a:picLocks noChangeArrowheads="1" noChangeAspect="1"/>
                    </pic:cNvPicPr>
                  </pic:nvPicPr>
                  <pic:blipFill>
                    <a:blip r:embed="rId41"/>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4"/>
    <w:bookmarkStart w:id="45"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5"/>
    <w:bookmarkStart w:id="46"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6"/>
    <w:bookmarkStart w:id="47"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7"/>
    <w:bookmarkEnd w:id="48"/>
    <w:bookmarkStart w:id="49"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9"/>
    <w:bookmarkStart w:id="50" w:name="s11.-acquisition-and-the-order-of-limits"/>
    <w:p>
      <w:pPr>
        <w:pStyle w:val="Heading2"/>
      </w:pPr>
      <w:r>
        <w:t xml:space="preserve">S11. Acquisition and the order of limits</w:t>
      </w:r>
    </w:p>
    <w:p>
      <w:pPr>
        <w:pStyle w:val="FirstParagraph"/>
      </w:pPr>
      <w:r>
        <w:t xml:space="preserve">Theorem 1 applies at fixed physical noise covariance and fixed horizon. Corollary 1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[7]</w:t>
      </w:r>
      <w:r>
        <w:t xml:space="preserve">.</w:t>
      </w:r>
    </w:p>
    <w:bookmarkEnd w:id="50"/>
    <w:bookmarkStart w:id="51"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Corollary 1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51"/>
    <w:bookmarkStart w:id="52"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2"/>
    <w:bookmarkStart w:id="56"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Corollary 1.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2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3,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[8, 9]</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3"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3"/>
    <w:bookmarkStart w:id="54"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4"/>
    <w:bookmarkStart w:id="55"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5"/>
    <w:bookmarkEnd w:id="56"/>
    <w:bookmarkStart w:id="60"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8" name="Picture"/>
            <a:graphic>
              <a:graphicData uri="http://schemas.openxmlformats.org/drawingml/2006/picture">
                <pic:pic>
                  <pic:nvPicPr>
                    <pic:cNvPr descr="figures/publication/independent_records.png" id="59" name="Picture"/>
                    <pic:cNvPicPr>
                      <a:picLocks noChangeArrowheads="1" noChangeAspect="1"/>
                    </pic:cNvPicPr>
                  </pic:nvPicPr>
                  <pic:blipFill>
                    <a:blip r:embed="rId57"/>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60"/>
    <w:bookmarkStart w:id="64"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61"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on which the selected moments have uniformly bounded moments of order</w:t>
      </w:r>
      <w:r>
        <w:t xml:space="preserve"> </w:t>
      </w:r>
      <m:oMath>
        <m:r>
          <m:t>2</m:t>
        </m:r>
        <m:r>
          <m:rPr>
            <m:sty m:val="p"/>
          </m:rPr>
          <m:t>+</m:t>
        </m:r>
        <m:r>
          <m:t>δ</m:t>
        </m:r>
      </m:oMath>
      <w:r>
        <w:t xml:space="preserve"> </w:t>
      </w:r>
      <w:r>
        <w:t xml:space="preserve">for some</w:t>
      </w:r>
      <w:r>
        <w:t xml:space="preserve"> </w:t>
      </w:r>
      <m:oMath>
        <m:r>
          <m:t>δ</m:t>
        </m:r>
        <m:r>
          <m:rPr>
            <m:sty m:val="p"/>
          </m:rPr>
          <m:t>&gt;</m:t>
        </m:r>
        <m:r>
          <m:t>0</m:t>
        </m:r>
      </m:oMath>
      <w:r>
        <w:t xml:space="preserve">.</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A law of large numbers holds for</w:t>
      </w:r>
      <w:r>
        <w:t xml:space="preserve"> </w:t>
      </w:r>
      <m:oMath>
        <m:sSub>
          <m:e>
            <m:r>
              <m:t>B</m:t>
            </m:r>
          </m:e>
          <m:sub>
            <m:r>
              <m:t>r</m:t>
            </m:r>
          </m:sub>
        </m:sSub>
      </m:oMath>
      <w:r>
        <w:t xml:space="preserve"> </w:t>
      </w:r>
      <w:r>
        <w:t xml:space="preserve">and the Lindeberg condition holds for</w:t>
      </w:r>
      <w:r>
        <w:t xml:space="preserve"> </w:t>
      </w:r>
      <m:oMath>
        <m:sSub>
          <m:e>
            <m:r>
              <m:t>ψ</m:t>
            </m:r>
          </m:e>
          <m:sub>
            <m:r>
              <m:t>r</m:t>
            </m:r>
          </m:sub>
        </m:sSub>
      </m:oMath>
      <w:r>
        <w:t xml:space="preserve">.</w:t>
      </w:r>
    </w:p>
    <w:p>
      <w:pPr>
        <w:pStyle w:val="BodyText"/>
      </w:pPr>
      <w:r>
        <w:rPr>
          <w:b/>
          <w:bCs/>
        </w:rPr>
        <w:t xml:space="preserve">(A5)</w:t>
      </w:r>
      <w:r>
        <w:t xml:space="preserve"> </w:t>
      </w:r>
      <w:r>
        <w:t xml:space="preserve">Exact integration is used, or the average instrumented quadrature defect is</w:t>
      </w:r>
      <w:r>
        <w:t xml:space="preserve"> </w:t>
      </w:r>
      <m:oMath>
        <m:r>
          <m:t>o</m:t>
        </m:r>
        <m:r>
          <m:rPr>
            <m:sty m:val="p"/>
          </m:rPr>
          <m:t>(</m:t>
        </m:r>
        <m:sSup>
          <m:e>
            <m:r>
              <m:t>n</m:t>
            </m:r>
          </m:e>
          <m:sup>
            <m:r>
              <m:rPr>
                <m:sty m:val="p"/>
              </m:rPr>
              <m:t>−</m:t>
            </m:r>
            <m:r>
              <m:t>1</m:t>
            </m:r>
            <m:r>
              <m:rPr>
                <m:sty m:val="p"/>
              </m:rPr>
              <m:t>/</m:t>
            </m:r>
            <m:r>
              <m:t>2</m:t>
            </m:r>
          </m:sup>
        </m:sSup>
        <m:r>
          <m:rPr>
            <m:sty m:val="p"/>
          </m:rPr>
          <m:t>)</m:t>
        </m:r>
      </m:oMath>
      <w:r>
        <w:t xml:space="preserve">. This condition concerns centered continuous-parameter inference. A vanishing average defect alone suffices for consistency.</w:t>
      </w:r>
    </w:p>
    <w:p>
      <w:pPr>
        <w:pStyle w:val="BodyText"/>
      </w:pPr>
      <w:r>
        <w:rPr>
          <w:b/>
          <w:bCs/>
        </w:rPr>
        <w:t xml:space="preserve">Theorem 3 (heterogeneous-record weak estimating equations).</w:t>
      </w:r>
      <w:r>
        <w:t xml:space="preserve"> </w:t>
      </w:r>
      <w:r>
        <w:t xml:space="preserve">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3.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gives consistency by the law of large numbers, followed by the displayed CLT by Lindeberg and Slutsky. The empirical score covariance converges to</w:t>
      </w:r>
      <w:r>
        <w:t xml:space="preserve"> </w:t>
      </w:r>
      <m:oMath>
        <m:sSub>
          <m:e>
            <m:r>
              <m:t>V</m:t>
            </m:r>
          </m:e>
          <m:sub>
            <m:r>
              <m:t>ψ</m:t>
            </m:r>
          </m:sub>
        </m:sSub>
      </m:oMath>
      <w:r>
        <w:t xml:space="preserve">: each conditional mean is zero, so variation of the deterministic trajectories creates no between-record mean term. Replacing</w:t>
      </w:r>
      <w:r>
        <w:t xml:space="preserve"> </w:t>
      </w:r>
      <m:oMath>
        <m:sSub>
          <m:e>
            <m:r>
              <m:t>θ</m:t>
            </m:r>
          </m:e>
          <m:sub>
            <m:r>
              <m:t>0</m:t>
            </m:r>
          </m:sub>
        </m:sSub>
      </m:oMath>
      <w:r>
        <w:t xml:space="preserve"> </w:t>
      </w:r>
      <w:r>
        <w:t xml:space="preserve">by the consistent estimate changes this covariance by</w:t>
      </w:r>
      <w:r>
        <w:t xml:space="preserve"> </w:t>
      </w:r>
      <m:oMath>
        <m:sSub>
          <m:e>
            <m:r>
              <m:t>o</m:t>
            </m:r>
          </m:e>
          <m:sub>
            <m:r>
              <m:t>P</m:t>
            </m:r>
          </m:sub>
        </m:sSub>
        <m:r>
          <m:rPr>
            <m:sty m:val="p"/>
          </m:rPr>
          <m:t>(</m:t>
        </m:r>
        <m:r>
          <m:t>1</m:t>
        </m:r>
        <m:r>
          <m:rPr>
            <m:sty m:val="p"/>
          </m:rPr>
          <m:t>)</m:t>
        </m:r>
      </m:oMath>
      <w:r>
        <w:t xml:space="preserve"> </w:t>
      </w:r>
      <w:r>
        <w:t xml:space="preserve">under the moment conditions. The quadrature assumption makes its centered contribution</w:t>
      </w:r>
      <w:r>
        <w:t xml:space="preserve"> </w:t>
      </w:r>
      <m:oMath>
        <m:sSub>
          <m:e>
            <m:r>
              <m:t>o</m:t>
            </m:r>
          </m:e>
          <m:sub>
            <m:r>
              <m:t>P</m:t>
            </m:r>
          </m:sub>
        </m:sSub>
        <m:r>
          <m:rPr>
            <m:sty m:val="p"/>
          </m:rPr>
          <m:t>(</m:t>
        </m:r>
        <m:r>
          <m:t>1</m:t>
        </m:r>
        <m:r>
          <m:rPr>
            <m:sty m:val="p"/>
          </m:rPr>
          <m:t>)</m:t>
        </m:r>
      </m:oMath>
      <w:r>
        <w:t xml:space="preserve"> </w:t>
      </w:r>
      <w:r>
        <w:t xml:space="preserve">after multiplication by</w:t>
      </w:r>
      <w:r>
        <w:t xml:space="preserve"> </w:t>
      </w:r>
      <m:oMath>
        <m:rad>
          <m:radPr>
            <m:degHide m:val="on"/>
          </m:radPr>
          <m:deg/>
          <m:e>
            <m:r>
              <m:t>n</m:t>
            </m:r>
          </m:e>
        </m:rad>
      </m:oMath>
      <w:r>
        <w:t xml:space="preserve">. This is the standard estimating-equation/GMM argument</w:t>
      </w:r>
      <w:r>
        <w:t xml:space="preserve"> </w:t>
      </w:r>
      <w:r>
        <w:t xml:space="preserve">[8, 9]</w:t>
      </w:r>
      <w:r>
        <w:t xml:space="preserve">, with the independent-instrument identity addressing the incidental-initial-state setting.</w:t>
      </w:r>
      <w:r>
        <w:t xml:space="preserve"> </w:t>
      </w:r>
      <m:oMath>
        <m:r>
          <m:rPr>
            <m:sty m:val="p"/>
          </m:rPr>
          <m:t>▫</m:t>
        </m:r>
      </m:oMath>
    </w:p>
    <w:bookmarkEnd w:id="61"/>
    <w:bookmarkStart w:id="62"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[10]</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3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2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2,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2"/>
    <w:bookmarkStart w:id="63"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[9]</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2 and a calibration diagnostic, rather than as an efficiency contribution.</w:t>
      </w:r>
    </w:p>
    <w:bookmarkEnd w:id="63"/>
    <w:bookmarkEnd w:id="64"/>
    <w:bookmarkStart w:id="68"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[11]</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6" name="Picture"/>
            <a:graphic>
              <a:graphicData uri="http://schemas.openxmlformats.org/drawingml/2006/picture">
                <pic:pic>
                  <pic:nvPicPr>
                    <pic:cNvPr descr="figures/publication/record_bootstrap.png" id="67" name="Picture"/>
                    <pic:cNvPicPr>
                      <a:picLocks noChangeArrowheads="1" noChangeAspect="1"/>
                    </pic:cNvPicPr>
                  </pic:nvPicPr>
                  <pic:blipFill>
                    <a:blip r:embed="rId65"/>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8"/>
    <w:bookmarkStart w:id="69"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9"/>
    <w:bookmarkStart w:id="70"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70"/>
    <w:bookmarkStart w:id="94" w:name="references"/>
    <w:p>
      <w:pPr>
        <w:pStyle w:val="Heading2"/>
      </w:pPr>
      <w:r>
        <w:t xml:space="preserve">References</w:t>
      </w:r>
    </w:p>
    <w:bookmarkStart w:id="93" w:name="refs"/>
    <w:bookmarkStart w:id="72" w:name="ref-cameron1944"/>
    <w:p>
      <w:pPr>
        <w:pStyle w:val="Bibliography"/>
      </w:pPr>
      <w:r>
        <w:t xml:space="preserve">[1]</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71">
        <w:r>
          <w:rPr>
            <w:rStyle w:val="Hyperlink"/>
          </w:rPr>
          <w:t xml:space="preserve">https://doi.org/10.2307/1969276</w:t>
        </w:r>
      </w:hyperlink>
      <w:r>
        <w:t xml:space="preserve">.</w:t>
      </w:r>
    </w:p>
    <w:bookmarkEnd w:id="72"/>
    <w:bookmarkStart w:id="74" w:name="ref-feldman1958"/>
    <w:p>
      <w:pPr>
        <w:pStyle w:val="Bibliography"/>
      </w:pPr>
      <w:r>
        <w:t xml:space="preserve">[2]</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73">
        <w:r>
          <w:rPr>
            <w:rStyle w:val="Hyperlink"/>
          </w:rPr>
          <w:t xml:space="preserve">https://doi.org/10.2140/pjm.1958.8.699</w:t>
        </w:r>
      </w:hyperlink>
      <w:r>
        <w:t xml:space="preserve">.</w:t>
      </w:r>
    </w:p>
    <w:bookmarkEnd w:id="74"/>
    <w:bookmarkStart w:id="76"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75">
        <w:r>
          <w:rPr>
            <w:rStyle w:val="Hyperlink"/>
          </w:rPr>
          <w:t xml:space="preserve">https://doi.org/10.1198/016214504000000241</w:t>
        </w:r>
      </w:hyperlink>
      <w:r>
        <w:t xml:space="preserve">.</w:t>
      </w:r>
    </w:p>
    <w:bookmarkEnd w:id="76"/>
    <w:bookmarkStart w:id="78" w:name="ref-messenger2021"/>
    <w:p>
      <w:pPr>
        <w:pStyle w:val="Bibliography"/>
      </w:pPr>
      <w:r>
        <w:t xml:space="preserve">[4]</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77">
        <w:r>
          <w:rPr>
            <w:rStyle w:val="Hyperlink"/>
          </w:rPr>
          <w:t xml:space="preserve">https://doi.org/10.1137/20M1343166</w:t>
        </w:r>
      </w:hyperlink>
      <w:r>
        <w:t xml:space="preserve">.</w:t>
      </w:r>
    </w:p>
    <w:bookmarkEnd w:id="78"/>
    <w:bookmarkStart w:id="80" w:name="ref-lopez2026"/>
    <w:p>
      <w:pPr>
        <w:pStyle w:val="Bibliography"/>
      </w:pPr>
      <w:r>
        <w:t xml:space="preserve">[5]</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79">
        <w:r>
          <w:rPr>
            <w:rStyle w:val="Hyperlink"/>
          </w:rPr>
          <w:t xml:space="preserve">https://doi.org/10.1016/j.jcp.2025.114410</w:t>
        </w:r>
      </w:hyperlink>
      <w:r>
        <w:t xml:space="preserve">.</w:t>
      </w:r>
    </w:p>
    <w:bookmarkEnd w:id="80"/>
    <w:bookmarkStart w:id="82" w:name="ref-bortz2023"/>
    <w:p>
      <w:pPr>
        <w:pStyle w:val="Bibliography"/>
      </w:pPr>
      <w:r>
        <w:t xml:space="preserve">[6]</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1">
        <w:r>
          <w:rPr>
            <w:rStyle w:val="Hyperlink"/>
          </w:rPr>
          <w:t xml:space="preserve">https://doi.org/10.1007/s11538-023-01208-6</w:t>
        </w:r>
      </w:hyperlink>
      <w:r>
        <w:t xml:space="preserve">.</w:t>
      </w:r>
    </w:p>
    <w:bookmarkEnd w:id="82"/>
    <w:bookmarkStart w:id="84" w:name="ref-fuller1987"/>
    <w:p>
      <w:pPr>
        <w:pStyle w:val="Bibliography"/>
      </w:pPr>
      <w:r>
        <w:t xml:space="preserve">[7]</w:t>
      </w:r>
      <w:r>
        <w:t xml:space="preserve"> </w:t>
      </w:r>
      <w:r>
        <w:t xml:space="preserve">	</w:t>
      </w:r>
      <w:r>
        <w:t xml:space="preserve">Fuller WA. Measurement error models. Wiley (1987)</w:t>
      </w:r>
      <w:r>
        <w:t xml:space="preserve"> </w:t>
      </w:r>
      <w:hyperlink r:id="rId83">
        <w:r>
          <w:rPr>
            <w:rStyle w:val="Hyperlink"/>
          </w:rPr>
          <w:t xml:space="preserve">https://doi.org/10.1002/9780470316665</w:t>
        </w:r>
      </w:hyperlink>
      <w:r>
        <w:t xml:space="preserve">.</w:t>
      </w:r>
    </w:p>
    <w:bookmarkEnd w:id="84"/>
    <w:bookmarkStart w:id="86" w:name="ref-hansen1982"/>
    <w:p>
      <w:pPr>
        <w:pStyle w:val="Bibliography"/>
      </w:pPr>
      <w:r>
        <w:t xml:space="preserve">[8]</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5">
        <w:r>
          <w:rPr>
            <w:rStyle w:val="Hyperlink"/>
          </w:rPr>
          <w:t xml:space="preserve">https://doi.org/10.2307/1912775</w:t>
        </w:r>
      </w:hyperlink>
      <w:r>
        <w:t xml:space="preserve">.</w:t>
      </w:r>
    </w:p>
    <w:bookmarkEnd w:id="86"/>
    <w:bookmarkStart w:id="88" w:name="ref-newey1994"/>
    <w:p>
      <w:pPr>
        <w:pStyle w:val="Bibliography"/>
      </w:pPr>
      <w:r>
        <w:t xml:space="preserve">[9]</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87">
        <w:r>
          <w:rPr>
            <w:rStyle w:val="Hyperlink"/>
          </w:rPr>
          <w:t xml:space="preserve">https://doi.org/10.1016/S1573-4412(05)80005-4</w:t>
        </w:r>
      </w:hyperlink>
      <w:r>
        <w:t xml:space="preserve">.</w:t>
      </w:r>
    </w:p>
    <w:bookmarkEnd w:id="88"/>
    <w:bookmarkStart w:id="90" w:name="ref-leiner2025"/>
    <w:p>
      <w:pPr>
        <w:pStyle w:val="Bibliography"/>
      </w:pPr>
      <w:r>
        <w:t xml:space="preserve">[10]</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89">
        <w:r>
          <w:rPr>
            <w:rStyle w:val="Hyperlink"/>
          </w:rPr>
          <w:t xml:space="preserve">https://doi.org/10.1080/01621459.2023.2270748</w:t>
        </w:r>
      </w:hyperlink>
      <w:r>
        <w:t xml:space="preserve">.</w:t>
      </w:r>
    </w:p>
    <w:bookmarkEnd w:id="90"/>
    <w:bookmarkStart w:id="92" w:name="ref-hall1996"/>
    <w:p>
      <w:pPr>
        <w:pStyle w:val="Bibliography"/>
      </w:pPr>
      <w:r>
        <w:t xml:space="preserve">[11]</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1">
        <w:r>
          <w:rPr>
            <w:rStyle w:val="Hyperlink"/>
          </w:rPr>
          <w:t xml:space="preserve">https://doi.org/10.2307/2171849</w:t>
        </w:r>
      </w:hyperlink>
      <w:r>
        <w:t xml:space="preserve">.</w:t>
      </w:r>
    </w:p>
    <w:bookmarkEnd w:id="92"/>
    <w:bookmarkEnd w:id="93"/>
    <w:bookmarkEnd w:id="94"/>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41" Type="http://schemas.openxmlformats.org/officeDocument/2006/relationships/image" Target="media/rId41.png"/><Relationship Id="rId36" Type="http://schemas.openxmlformats.org/officeDocument/2006/relationships/image" Target="media/rId36.png"/><Relationship Id="rId57" Type="http://schemas.openxmlformats.org/officeDocument/2006/relationships/image" Target="media/rId57.png"/><Relationship Id="rId18" Type="http://schemas.openxmlformats.org/officeDocument/2006/relationships/image" Target="media/rId18.png"/><Relationship Id="rId65" Type="http://schemas.openxmlformats.org/officeDocument/2006/relationships/image" Target="media/rId65.png"/><Relationship Id="rId22" Type="http://schemas.openxmlformats.org/officeDocument/2006/relationships/image" Target="media/rId22.png"/><Relationship Id="rId25" Type="http://schemas.openxmlformats.org/officeDocument/2006/relationships/image" Target="media/rId25.png"/><Relationship Id="rId83" Type="http://schemas.openxmlformats.org/officeDocument/2006/relationships/hyperlink" Target="https://doi.org/10.1002/9780470316665" TargetMode="External"/><Relationship Id="rId81" Type="http://schemas.openxmlformats.org/officeDocument/2006/relationships/hyperlink" Target="https://doi.org/10.1007/s11538-023-01208-6" TargetMode="External"/><Relationship Id="rId87" Type="http://schemas.openxmlformats.org/officeDocument/2006/relationships/hyperlink" Target="https://doi.org/10.1016/S1573-4412(05)80005-4" TargetMode="External"/><Relationship Id="rId79" Type="http://schemas.openxmlformats.org/officeDocument/2006/relationships/hyperlink" Target="https://doi.org/10.1016/j.jcp.2025.114410" TargetMode="External"/><Relationship Id="rId89" Type="http://schemas.openxmlformats.org/officeDocument/2006/relationships/hyperlink" Target="https://doi.org/10.1080/01621459.2023.2270748" TargetMode="External"/><Relationship Id="rId77" Type="http://schemas.openxmlformats.org/officeDocument/2006/relationships/hyperlink" Target="https://doi.org/10.1137/20M1343166" TargetMode="External"/><Relationship Id="rId75" Type="http://schemas.openxmlformats.org/officeDocument/2006/relationships/hyperlink" Target="https://doi.org/10.1198/016214504000000241" TargetMode="External"/><Relationship Id="rId73" Type="http://schemas.openxmlformats.org/officeDocument/2006/relationships/hyperlink" Target="https://doi.org/10.2140/pjm.1958.8.699" TargetMode="External"/><Relationship Id="rId85" Type="http://schemas.openxmlformats.org/officeDocument/2006/relationships/hyperlink" Target="https://doi.org/10.2307/1912775" TargetMode="External"/><Relationship Id="rId71" Type="http://schemas.openxmlformats.org/officeDocument/2006/relationships/hyperlink" Target="https://doi.org/10.2307/1969276" TargetMode="External"/><Relationship Id="rId91"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s://doi.org/10.1002/9780470316665" TargetMode="External"/><Relationship Id="rId81" Type="http://schemas.openxmlformats.org/officeDocument/2006/relationships/hyperlink" Target="https://doi.org/10.1007/s11538-023-01208-6" TargetMode="External"/><Relationship Id="rId87" Type="http://schemas.openxmlformats.org/officeDocument/2006/relationships/hyperlink" Target="https://doi.org/10.1016/S1573-4412(05)80005-4" TargetMode="External"/><Relationship Id="rId79" Type="http://schemas.openxmlformats.org/officeDocument/2006/relationships/hyperlink" Target="https://doi.org/10.1016/j.jcp.2025.114410" TargetMode="External"/><Relationship Id="rId89" Type="http://schemas.openxmlformats.org/officeDocument/2006/relationships/hyperlink" Target="https://doi.org/10.1080/01621459.2023.2270748" TargetMode="External"/><Relationship Id="rId77" Type="http://schemas.openxmlformats.org/officeDocument/2006/relationships/hyperlink" Target="https://doi.org/10.1137/20M1343166" TargetMode="External"/><Relationship Id="rId75" Type="http://schemas.openxmlformats.org/officeDocument/2006/relationships/hyperlink" Target="https://doi.org/10.1198/016214504000000241" TargetMode="External"/><Relationship Id="rId73" Type="http://schemas.openxmlformats.org/officeDocument/2006/relationships/hyperlink" Target="https://doi.org/10.2140/pjm.1958.8.699" TargetMode="External"/><Relationship Id="rId85" Type="http://schemas.openxmlformats.org/officeDocument/2006/relationships/hyperlink" Target="https://doi.org/10.2307/1912775" TargetMode="External"/><Relationship Id="rId71" Type="http://schemas.openxmlformats.org/officeDocument/2006/relationships/hyperlink" Target="https://doi.org/10.2307/1969276" TargetMode="External"/><Relationship Id="rId91"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2026-10-12T09:41:59Z</dcterms:created>
  <dcterms:modified xsi:type="dcterms:W3CDTF">2026-10-12T09:41:59Z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