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Boundary-free weak influences: range closure, sharp information and feasible GLS</w:t>
      </w:r>
    </w:p>
    <w:bookmarkStart w:id="9" w:name="spaces-and-adjoint-range"/>
    <w:p>
      <w:pPr>
        <w:pStyle w:val="Heading2"/>
      </w:pPr>
      <w:r>
        <w:t xml:space="preserve">1. Spaces and adjoint range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sSup>
          <m:e>
            <m:r>
              <m:t>C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;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  <m:r>
          <m:rPr>
            <m:sty m:val="p"/>
          </m:rPr>
          <m:t>)</m:t>
        </m:r>
      </m:oMath>
      <w:r>
        <w:t xml:space="preserve">, and let the invertible fundamental matrix satisfy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t>Z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d</m:t>
            </m:r>
          </m:sub>
        </m:sSub>
      </m:oMath>
      <w:r>
        <w:t xml:space="preserve">. Put</w:t>
      </w:r>
      <w:r>
        <w:t xml:space="preserve"> </w:t>
      </w:r>
      <m:oMath>
        <m:r>
          <m:t>A</m:t>
        </m:r>
        <m:r>
          <m:t>h</m:t>
        </m:r>
        <m:r>
          <m:rPr>
            <m:sty m:val="p"/>
          </m:rPr>
          <m:t>=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t>J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ϕ</m:t>
        </m:r>
      </m:oMath>
      <w:r>
        <w:t xml:space="preserve">. Sensor coordinates have independent stationary OU covariance with fixed positive scales. Its Cameron–Martin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H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with the OU inner product. Write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its continuous dual, equipped with the covariance norm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λ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C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C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g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g</m:t>
          </m:r>
          <m:r>
            <m:rPr>
              <m:sty m:val="p"/>
            </m:rPr>
            <m:t>,</m:t>
          </m:r>
          <m:r>
            <m:t>h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definition includes ordinary integrated influences and endpoint evaluation measures. It is the variance norm of the associated Gaussian linear observation; the noise path itself need not belong to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Proposition 2 (exact range and closure).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bSup>
            <m:e>
              <m:r>
                <m:t>H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ℓ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Z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range of compactly supported smooth tests is dense in this space in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Its closure in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is exactly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M</m:t>
          </m:r>
          <m:r>
            <m:rPr>
              <m:sty m:val="p"/>
            </m:rPr>
            <m:t>=</m:t>
          </m:r>
          <m:sSup>
            <m:e>
              <m:bar>
                <m:barPr>
                  <m:pos m:val="top"/>
                </m:bar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sSubSup>
                    <m:e>
                      <m:r>
                        <m:t>C</m:t>
                      </m:r>
                    </m:e>
                    <m:sub>
                      <m:r>
                        <m:t>c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e>
              </m:bar>
            </m:e>
            <m:sup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C</m:t>
                  </m:r>
                </m:sub>
              </m:sSub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λ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E</m:t>
          </m:r>
          <m:r>
            <m:rPr>
              <m:sty m:val="p"/>
            </m:rPr>
            <m:t>: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has codimension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Z</m:t>
            </m:r>
          </m:e>
          <m:sup>
            <m:r>
              <m:t>T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T</m:t>
            </m:r>
          </m:sup>
        </m:sSup>
        <m:r>
          <m:t>ϕ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zero endpoint values imply the moment constraint. Conversely, for an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influence with zero moment,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Z</m:t>
          </m:r>
          <m:r>
            <m:rPr>
              <m:sty m:val="p"/>
            </m:rPr>
            <m:t>(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</m:sup>
          </m:sSu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Z</m:t>
              </m:r>
            </m:e>
          </m:nary>
          <m:r>
            <m:rPr>
              <m:sty m:val="p"/>
            </m:rPr>
            <m:t>(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t>ℓ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t xml:space="preserve">belongs to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and satisfies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  <m:r>
          <m:rPr>
            <m:sty m:val="p"/>
          </m:rPr>
          <m:t>=</m:t>
        </m:r>
        <m:r>
          <m:t>ℓ</m:t>
        </m:r>
      </m:oMath>
      <w:r>
        <w:t xml:space="preserve">. Approximation in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by</w:t>
      </w:r>
      <w:r>
        <w:t xml:space="preserve"> </w:t>
      </w:r>
      <m:oMath>
        <m:sSubSup>
          <m:e>
            <m:r>
              <m:t>C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t xml:space="preserve"> </w:t>
      </w:r>
      <w:r>
        <w:t xml:space="preserve">and continuity of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→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density. For the stronger closure statement, a function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annihilates every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distributionally, hence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Z</m:t>
        </m:r>
        <m:r>
          <m:t>c</m:t>
        </m:r>
      </m:oMath>
      <w:r>
        <w:t xml:space="preserve">. The Hahn–Banach annihilator characterization of a closed subspace then gives the stated closure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The columns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linearly independent elements 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so their dual constraints have rank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Zero values at the endpoints do not imply compact support. Equality for literal compact tests, without a closure or an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qualification, would be false. The relevant closure uses the covariance norm, which is equivalent to the dual Sobolev norm for this positive OU model.</w:t>
      </w:r>
    </w:p>
    <w:bookmarkEnd w:id="9"/>
    <w:bookmarkStart w:id="10" w:name="sharp-covariance-reference"/>
    <w:p>
      <w:pPr>
        <w:pStyle w:val="Heading2"/>
      </w:pPr>
      <w:r>
        <w:t xml:space="preserve">2. Sharp covariance reference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coefficient sensitivities, and form the joint information blocks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 Assume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and the Schur complement are positive definite. Set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−</m:t>
          </m:r>
          <m:r>
            <m:t>Z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u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θ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θ</m:t>
              </m:r>
              <m:r>
                <m:t>u</m:t>
              </m:r>
            </m:sub>
          </m:sSub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u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θ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Projection and best linear unbiased estimation in correlated continuous regression are classical</w:t>
      </w:r>
      <w:r>
        <w:t xml:space="preserve"> </w:t>
      </w:r>
      <w:r>
        <w:t xml:space="preserve">[1]</w:t>
      </w:r>
      <w:r>
        <w:t xml:space="preserve">. Here the adjoint-range characterization identifies exactly which dynamical weak influences obey that projection.</w:t>
      </w:r>
    </w:p>
    <w:p>
      <w:pPr>
        <w:pStyle w:val="BodyText"/>
      </w:pPr>
      <w:r>
        <w:rPr>
          <w:b/>
          <w:bCs/>
        </w:rPr>
        <w:t xml:space="preserve">Theorem 2 (sharp boundary-free influence covariance).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M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r</m:t>
            </m:r>
            <m:r>
              <m:t>s</m:t>
            </m:r>
          </m:sub>
        </m:sSub>
      </m:oMath>
      <w:r>
        <w:t xml:space="preserve">. Its Gaussian influence covariance obeys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≽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bound is attained in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by the matrix-valued dual influence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Λ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R</m:t>
          </m:r>
          <m:r>
            <m:t> 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infimum for normalized compact-test influences. It is a minimum among literal compact tests only when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belongs to their adjoint range.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projection makes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</m:sSub>
      </m:oMath>
      <w:r>
        <w:t xml:space="preserve">. Thus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meets both constraints and has covariance</w:t>
      </w:r>
      <w:r>
        <w:t xml:space="preserve"> </w:t>
      </w:r>
      <m:oMath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 difference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Λ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pairs to zero with both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, hence with</w:t>
      </w:r>
      <w:r>
        <w:t xml:space="preserve"> </w:t>
      </w:r>
      <m:oMath>
        <m:r>
          <m:t>R</m:t>
        </m:r>
      </m:oMath>
      <w:r>
        <w:t xml:space="preserve">. Covariance cross terms vanish and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attainability as an infimum, approximate each column of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compact-test influences in covariance norm. Their normalization matrices converge to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by continuous pairing with</w:t>
      </w:r>
      <w:r>
        <w:t xml:space="preserve"> </w:t>
      </w:r>
      <m:oMath>
        <m:r>
          <m:t>S</m:t>
        </m:r>
      </m:oMath>
      <w:r>
        <w:t xml:space="preserve">; right-multiplication by their inverse transpose enforces exact normalization while preserving the range and covariance convergence.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This is a matrix statement. Dividing a vector influence by a scalar information is valid only 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 The information loss is exactly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θ</m:t>
            </m:r>
            <m:r>
              <m:t>u</m:t>
            </m:r>
          </m:sub>
        </m:sSub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u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θ</m:t>
            </m:r>
          </m:sub>
        </m:sSub>
      </m:oMath>
      <w:r>
        <w:t xml:space="preserve">; covariance inflation is</w:t>
      </w:r>
      <w:r>
        <w:t xml:space="preserve"> </w:t>
      </w:r>
      <m:oMath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θ</m:t>
            </m:r>
            <m:r>
              <m:t>θ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There is no direction-independent scalar loss percentage in general.</w:t>
      </w:r>
    </w:p>
    <w:bookmarkEnd w:id="10"/>
    <w:bookmarkStart w:id="11" w:name="explicit-ou-representative"/>
    <w:p>
      <w:pPr>
        <w:pStyle w:val="Heading2"/>
      </w:pPr>
      <w:r>
        <w:t xml:space="preserve">3. Explicit OU representative</w:t>
      </w:r>
    </w:p>
    <w:p>
      <w:pPr>
        <w:pStyle w:val="FirstParagraph"/>
      </w:pPr>
      <w:r>
        <w:t xml:space="preserve">For a scalar coordinate with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H</m:t>
            </m:r>
          </m:e>
          <m:sup>
            <m:r>
              <m:t>2</m:t>
            </m:r>
          </m:sup>
        </m:sSup>
      </m:oMath>
      <w:r>
        <w:t xml:space="preserve">, integration by parts in the stationary OU norm gives the dual measure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τ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τ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τ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independent coordinates the formula applies coordinatewise, using their respective scales. If only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H</m:t>
            </m:r>
          </m:e>
          <m:sup>
            <m:r>
              <m:t>1</m:t>
            </m:r>
          </m:sup>
        </m:sSup>
      </m:oMath>
      <w:r>
        <w:t xml:space="preserve">, the Riesz representative remains well-defined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but need not be a density plus finite endpoint measures.</w:t>
      </w:r>
    </w:p>
    <w:p>
      <w:pPr>
        <w:pStyle w:val="BodyText"/>
      </w:pPr>
      <w:r>
        <w:t xml:space="preserve">For a smooth optimal representative write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d</m:t>
        </m:r>
        <m:r>
          <m:t>t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  <m:sSub>
          <m:e>
            <m: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. On the open interval an adjoint test matrix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Z</m:t>
          </m:r>
          <m:r>
            <m:rPr>
              <m:sty m:val="p"/>
            </m:rPr>
            <m:t>(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Z</m:t>
              </m:r>
              <m:r>
                <m:rPr>
                  <m:sty m:val="p"/>
                </m:rPr>
                <m:t>(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Z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t>m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Extend it by zero outside the observation interval. Its endpoint jumps supply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Φ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Φ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)</m:t>
        </m:r>
      </m:oMath>
      <w:r>
        <w:t xml:space="preserve">, and distributionally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Φ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 These formulas include the initial atom; omitting it in the cumulative integral is incorrect. The annihilation condition supplies the terminal jump. Cutoff and smoothing approximate this generalized test in covariance norm. These measures describe a statistical reference; the implemented estimators keep compact tests and add no explicit boundary observation terms.</w:t>
      </w:r>
    </w:p>
    <w:p>
      <w:pPr>
        <w:pStyle w:val="BodyText"/>
      </w:pPr>
      <w:r>
        <w:t xml:space="preserve">For scalar exponential dynamics,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t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a</m:t>
            </m:r>
            <m:r>
              <m:t>u</m:t>
            </m:r>
          </m:sub>
        </m:sSub>
        <m:r>
          <m:rPr>
            <m:sty m:val="p"/>
          </m:rPr>
          <m:t>/</m:t>
        </m:r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t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τ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τ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p>
                <m:e>
                  <m:r>
                    <m:t>s</m:t>
                  </m:r>
                </m:e>
                <m:sup>
                  <m:r>
                    <m:t>j</m:t>
                  </m:r>
                </m:sup>
              </m:sSup>
            </m:e>
          </m:nary>
          <m:sSup>
            <m:e>
              <m:r>
                <m:t>e</m:t>
              </m:r>
            </m:e>
            <m:sup>
              <m:r>
                <m:t>2</m:t>
              </m:r>
              <m:r>
                <m:t>a</m:t>
              </m:r>
              <m:r>
                <m:t>s</m:t>
              </m:r>
            </m:sup>
          </m:sSup>
          <m:r>
            <m:t>d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t</m:t>
                  </m:r>
                </m:sup>
              </m:sSup>
            </m:num>
            <m:den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[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expm1</m:t>
        </m:r>
        <m:r>
          <m:rPr>
            <m:sty m:val="p"/>
          </m:rPr>
          <m:t>(</m:t>
        </m:r>
        <m:r>
          <m:t>2</m:t>
        </m:r>
        <m:r>
          <m:t>a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2</m:t>
            </m:r>
            <m:r>
              <m:t>a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a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their continuous limits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A pilot coefficient substitutes into this expression before a compact cutoff is applied. The explicit multivariate fundamental-matrix expression is an analytical identity, not a guarantee of stable numerical inversion of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; strongly contracting dynamics can make that inversion ill-conditioned.</w:t>
      </w:r>
    </w:p>
    <w:bookmarkEnd w:id="11"/>
    <w:bookmarkStart w:id="12" w:name="gls-and-the-order-of-limits"/>
    <w:p>
      <w:pPr>
        <w:pStyle w:val="Heading2"/>
      </w:pPr>
      <w:r>
        <w:t xml:space="preserve">4. GLS and the order of limits</w:t>
      </w:r>
    </w:p>
    <w:p>
      <w:pPr>
        <w:pStyle w:val="FirstParagraph"/>
      </w:pPr>
      <w:r>
        <w:t xml:space="preserve">For tests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, put</w:t>
      </w:r>
      <w:r>
        <w:t xml:space="preserve"> </w:t>
      </w:r>
      <m:oMath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r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  <m:r>
              <m:t>ℓ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C</m:t>
        </m:r>
        <m:sSub>
          <m:e>
            <m:r>
              <m:t>λ</m:t>
            </m:r>
          </m:e>
          <m:sub>
            <m:r>
              <m:t>ℓ</m:t>
            </m:r>
          </m:sub>
        </m:sSub>
        <m:r>
          <m:rPr>
            <m:sty m:val="p"/>
          </m:rPr>
          <m:t>⟩</m:t>
        </m:r>
      </m:oMath>
      <w:r>
        <w:t xml:space="preserve">. Remove exact linear dependencies. If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full column rank, covariance-weighted weak regression has local influence and covariance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t>T</m:t>
              </m:r>
            </m:sup>
          </m:sSup>
          <m:sSup>
            <m:e>
              <m:r>
                <m:rPr>
                  <m:sty m:val="p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D</m:t>
              </m:r>
            </m:e>
            <m:sup>
              <m:r>
                <m:t>T</m:t>
              </m:r>
            </m:sup>
          </m:sSup>
          <m:sSup>
            <m:e>
              <m:r>
                <m:rPr>
                  <m:sty m:val="p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t>T</m:t>
              </m:r>
            </m:sup>
          </m:sSup>
          <m:sSup>
            <m:e>
              <m:r>
                <m:rPr>
                  <m:sty m:val="p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WENDy’s covariance iteration motivates this construction</w:t>
      </w:r>
      <w:r>
        <w:t xml:space="preserve"> </w:t>
      </w:r>
      <w:r>
        <w:t xml:space="preserve">[2]</w:t>
      </w:r>
      <w:r>
        <w:t xml:space="preserve">, but the released iid covariance is not the correct physical-OU covariance. Under polynomial features Proposition 3 supplies the complete coupled residual weights. Its order-one term determines the small-noise efficient influence; higher orders correct residual uncertainty at finite amplitude without by themselves removing coefficient-estimator bias.</w:t>
      </w:r>
    </w:p>
    <w:p>
      <w:pPr>
        <w:pStyle w:val="BodyText"/>
      </w:pPr>
      <w:r>
        <w:rPr>
          <w:b/>
          <w:bCs/>
        </w:rPr>
        <w:t xml:space="preserve">Corollary 1 (small-noise, dense-span efficiency).</w:t>
      </w:r>
      <w:r>
        <w:t xml:space="preserve"> </w:t>
      </w:r>
      <w:r>
        <w:t xml:space="preserve">Let the noise be</w:t>
      </w:r>
      <w:r>
        <w:t xml:space="preserve"> </w:t>
      </w:r>
      <m:oMath>
        <m:r>
          <m:t>ϵ</m:t>
        </m:r>
        <m:sSub>
          <m:e>
            <m:r>
              <m:t>Z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with known covariance shape</w:t>
      </w:r>
      <w:r>
        <w:t xml:space="preserve"> </w:t>
      </w:r>
      <m:oMath>
        <m:r>
          <m:t>C</m:t>
        </m:r>
      </m:oMath>
      <w:r>
        <w:t xml:space="preserve">. Assume a smooth identifiable parameterization, a generating parameter interior to a compact parameter set, consistent pilots, consistent covariance-shape weights and quadrature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 For each fixed finite test family assume a regular local weak solution with the GLS linearization. For the covariance conclusion additionally assume uniform integrability of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ϵ</m:t>
            </m:r>
          </m:sub>
        </m:sSub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 A sufficient implementation uses a uniformly stable smooth local solve, Gaussian moment control on the local Taylor remainder, and bounded fallback outside the regular region whose probability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ϵ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ϵ</m:t>
              </m:r>
            </m:sub>
          </m:sSub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ϵ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ϵ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nested test-influence spans are dense in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Proof.</w:t>
      </w:r>
      <w:r>
        <w:t xml:space="preserve"> </w:t>
      </w:r>
      <w:r>
        <w:t xml:space="preserve">For fixed</w:t>
      </w:r>
      <w:r>
        <w:t xml:space="preserve"> </w:t>
      </w:r>
      <m:oMath>
        <m:r>
          <m:t>K</m:t>
        </m:r>
      </m:oMath>
      <w:r>
        <w:t xml:space="preserve">, a first-order expansion of the weak equations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ϵ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GLS map above. Consistent pilots and weights change the leading map by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; derivatives of pilot-dependent tests multiply the zero clean residual. Gaussianity gives the distributional assertion; the stated risk condition justifies covariance convergence. In the Gaussian dual space, finite-family information is the Gram matrix of the orthogonal projection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</m:oMath>
      <w:r>
        <w:t xml:space="preserve"> </w:t>
      </w:r>
      <w:r>
        <w:t xml:space="preserve">onto its test span. Density gives projection convergence, and nested spans give increasing information; continuity of inversion at positive definite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gives covariance convergence.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 conclusion is sequential: first small noise and controlled quadrature for fixed</w:t>
      </w:r>
      <w:r>
        <w:t xml:space="preserve"> </w:t>
      </w:r>
      <m:oMath>
        <m:r>
          <m:t>K</m:t>
        </m:r>
      </m:oMath>
      <w:r>
        <w:t xml:space="preserve">, then dense spans. A diagonal joint limit requires uniform remainder, conditioning and covariance-weight control that are not supplied here. This theorem concerns regular WENDy-like weak estimation with correct covariance and supplied identifiable structure, not all implementations called WENDy, finite-noise sparse selection, or a universal plateau for misspecified iid weighting. A fixed basis cutoff must be compatible with the density assumption; discarding an informative direction permanently can invalidate it.</w:t>
      </w:r>
    </w:p>
    <w:bookmarkEnd w:id="12"/>
    <w:bookmarkStart w:id="18" w:name="references"/>
    <w:p>
      <w:pPr>
        <w:pStyle w:val="Heading2"/>
      </w:pPr>
      <w:r>
        <w:t xml:space="preserve">References</w:t>
      </w:r>
    </w:p>
    <w:bookmarkStart w:id="17" w:name="refs"/>
    <w:bookmarkStart w:id="14" w:name="ref-dette2016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Dette H, Pepelyshev A, Zhigljavsky A. Optimal designs in regression with correlated errors.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44 (2016) 113–152.</w:t>
      </w:r>
      <w:r>
        <w:t xml:space="preserve"> </w:t>
      </w:r>
      <w:hyperlink r:id="rId13">
        <w:r>
          <w:rPr>
            <w:rStyle w:val="Hyperlink"/>
          </w:rPr>
          <w:t xml:space="preserve">https://doi.org/10.1214/15-AOS1361</w:t>
        </w:r>
      </w:hyperlink>
      <w:r>
        <w:t xml:space="preserve">.</w:t>
      </w:r>
    </w:p>
    <w:bookmarkEnd w:id="14"/>
    <w:bookmarkStart w:id="16" w:name="ref-bortz202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Bortz DM, Messenger DA, Dukic V. Direct estimation of parameters in</w:t>
      </w:r>
      <w:r>
        <w:t xml:space="preserve"> </w:t>
      </w:r>
      <w:r>
        <w:t xml:space="preserve">ODE</w:t>
      </w:r>
      <w:r>
        <w:t xml:space="preserve"> </w:t>
      </w:r>
      <w:r>
        <w:t xml:space="preserve">models using</w:t>
      </w:r>
      <w:r>
        <w:t xml:space="preserve"> </w:t>
      </w:r>
      <w:r>
        <w:t xml:space="preserve">WENDy</w:t>
      </w:r>
      <w:r>
        <w:t xml:space="preserve">: Weak-form estimation of nonlinear dynamics.</w:t>
      </w:r>
      <w:r>
        <w:t xml:space="preserve"> </w:t>
      </w:r>
      <w:r>
        <w:rPr>
          <w:i/>
          <w:iCs/>
        </w:rPr>
        <w:t xml:space="preserve">Bulletin of Mathematical Biology</w:t>
      </w:r>
      <w:r>
        <w:t xml:space="preserve"> </w:t>
      </w:r>
      <w:r>
        <w:t xml:space="preserve">85 (2023) 110.</w:t>
      </w:r>
      <w:r>
        <w:t xml:space="preserve"> </w:t>
      </w:r>
      <w:hyperlink r:id="rId15">
        <w:r>
          <w:rPr>
            <w:rStyle w:val="Hyperlink"/>
          </w:rPr>
          <w:t xml:space="preserve">https://doi.org/10.1007/s11538-023-01208-6</w:t>
        </w:r>
      </w:hyperlink>
      <w:r>
        <w:t xml:space="preserve">.</w:t>
      </w:r>
    </w:p>
    <w:bookmarkEnd w:id="16"/>
    <w:bookmarkEnd w:id="17"/>
    <w:bookmarkEnd w:id="18"/>
    <w:sectPr>
      <w:footnotePr>
        <w:numRestart w:val="eachSect"/>
      </w:footnotePr>
      <w:pgSz w:w="11906" w:h="16838"/>
      <w:pgMar w:left="1304" w:right="13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https://doi.org/10.1007/s11538-023-01208-6" TargetMode="External"/><Relationship Id="rId13" Type="http://schemas.openxmlformats.org/officeDocument/2006/relationships/hyperlink" Target="https://doi.org/10.1214/15-AOS1361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i.org/10.1007/s11538-023-01208-6" TargetMode="External"/><Relationship Id="rId13" Type="http://schemas.openxmlformats.org/officeDocument/2006/relationships/hyperlink" Target="https://doi.org/10.1214/15-AOS13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Boundary-free weak influences: range closure, sharp information and feasible GLS</dc:title>
  <dc:creator/>
  <dc:language>en-US</dc:language>
  <cp:keywords/>
  <dcterms:created xsi:type="dcterms:W3CDTF">2026-10-11T16:32:35Z</dcterms:created>
  <dcterms:modified xsi:type="dcterms:W3CDTF">2026-10-11T16:32:35Z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D:\new_state\research_sampling_wsindy\manuscript\publication_references.bib</vt:lpwstr>
  </property>
  <property fmtid="{D5CDD505-2E9C-101B-9397-08002B2CF9AE}" pid="3" name="csl">
    <vt:lpwstr>D:\new_state\research_sampling_wsindy\manuscript\numeric.csl</vt:lpwstr>
  </property>
</Properties>
</file>