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результаты-доработки-по-замечаниям"/>
    <w:p>
      <w:pPr>
        <w:pStyle w:val="Heading1"/>
      </w:pPr>
      <w:r>
        <w:t xml:space="preserve">Результаты доработки по замечаниям</w:t>
      </w:r>
    </w:p>
    <w:p>
      <w:pPr>
        <w:pStyle w:val="FirstParagraph"/>
      </w:pPr>
      <w:r>
        <w:t xml:space="preserve">Целевой журнал — Applied Mathematics and Computation из исходного Word-плана. Подготовлена новая английская статья, supplement, native OMML Word, LaTeX, PDF, highlights, cover letter и поля авторских деклараций. Исходный план сохранён, старая статья архивирована.</w:t>
      </w:r>
    </w:p>
    <w:bookmarkStart w:id="9" w:name="математическое-усиление"/>
    <w:p>
      <w:pPr>
        <w:pStyle w:val="Heading2"/>
      </w:pPr>
      <w:r>
        <w:t xml:space="preserve">Математическое усиление</w:t>
      </w:r>
    </w:p>
    <w:p>
      <w:pPr>
        <w:pStyle w:val="FirstParagraph"/>
      </w:pPr>
      <w:r>
        <w:t xml:space="preserve">Выведена явная Cameron–Martin норма стационарного OU-процесса, включая граничные члены. Доказаны эквивалентность законов гладких ODE-траекторий, количественная двухточечная граница для любого оценивания и невозможность состоятельности одновременно во всём семействе. Это не запрещает состоятельность в одной изолированной точке. Классический принцип отнесён к литературе, а не заявлен новым.</w:t>
      </w:r>
    </w:p>
    <w:p>
      <w:pPr>
        <w:pStyle w:val="BodyText"/>
      </w:pPr>
      <w:r>
        <w:t xml:space="preserve">Для скалярного затухания непрерывная информация Фишера равна 144.187, эффективность локального Gaussian weak-суррогата — 0.063. Выведены точная информация на сетке, граница Cramér–Rao и различия между h, T и M. Для затухания увеличение T не даёт неограниченного роста информации; независимые записи дают сумму информации.</w:t>
      </w:r>
    </w:p>
    <w:p>
      <w:pPr>
        <w:pStyle w:val="BodyText"/>
      </w:pPr>
      <w:r>
        <w:t xml:space="preserve">Отдельно доказана потеря информации об исходном состоянии в boundary-free weak-влияниях. Интегрирование по частям даёт нулевой отклик на initial-state sensitivities и нижнюю границу covariance через Schur complement совместной информации. В скалярном примере она повышает нижнюю границу локальной дисперсии на 18.4% даже при известном исходном состоянии. Детерминированная проверка geometry на Kaggle завершена; она не добавляет Monte Carlo paths и не утверждает конечной дисперсии unguarded ratio.</w:t>
      </w:r>
    </w:p>
    <w:bookmarkEnd w:id="9"/>
    <w:bookmarkStart w:id="10" w:name="новая-численная-проверка"/>
    <w:p>
      <w:pPr>
        <w:pStyle w:val="Heading2"/>
      </w:pPr>
      <w:r>
        <w:t xml:space="preserve">Новая численная проверка</w:t>
      </w:r>
    </w:p>
    <w:p>
      <w:pPr>
        <w:pStyle w:val="FirstParagraph"/>
      </w:pPr>
      <w:r>
        <w:t xml:space="preserve">На Kaggle завершено 24 576 свежих fits relative MSTLS/oracle-support: четыре системы, два режима шума, две амплитуды, четыре сетки, 128 paths на условие. Дополнительно: 1 000 scalar paths с exact Gaussian likelihood, 2 000 paths на каждый из четырёх уровней для joint coefficient covariance, шесть ковариационных ячеек по 250 affine-null bootstrap повторов, 400 блоков heterogeneous initial conditions и 1 536 fits ковариационного IRLS-компонента. Не все endpoints независимы: сетки/методы и некоторые условия специально используют common random numbers.</w:t>
      </w:r>
    </w:p>
    <w:p>
      <w:pPr>
        <w:pStyle w:val="BodyText"/>
      </w:pPr>
      <w:r>
        <w:t xml:space="preserve">На самой частой scalar-сетке медиана абсолютной ошибки weak ratio — 0.2271, bounded Gaussian likelihood — 0.0561. Это сравнение не превращает likelihood MSE в несмещённую CR-efficiency и не приписывает unguarded ratio конечную дисперсию.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шума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Guarded paths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Расхождение actual covariance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Paired linearization 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2000/2000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2000/2000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2000/2000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2000/2000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2.591</w:t>
            </w:r>
          </w:p>
        </w:tc>
      </w:tr>
    </w:tbl>
    <w:p>
      <w:pPr>
        <w:pStyle w:val="BodyText"/>
      </w:pPr>
      <w:r>
        <w:t xml:space="preserve">Actual covariance условна на singular-value guard. Это не доказательство существования безусловных моментов оценивания.</w:t>
      </w:r>
    </w:p>
    <w:p>
      <w:pPr>
        <w:pStyle w:val="BodyText"/>
      </w:pPr>
      <w:r>
        <w:t xml:space="preserve">В Van der Pol при 5% OU-шуме исправленный MSTLS восстановил точную структуру в 81 из 128 случаев. При правильной структуре медианная ошибка — 0.0340, при неправильной — 0.7189; гистограмма показывает, почему один общий показатель скрывает разные исходы. Для corrected residual при 50% шуме расхождение covariance 0.064 сопоставимо с fourth-moment RMS floor 0.063 и approximate-null 95% range [0.053, 0.072].</w:t>
      </w:r>
    </w:p>
    <w:bookmarkEnd w:id="10"/>
    <w:bookmarkStart w:id="11" w:name="что-исправлено-в-представлении"/>
    <w:p>
      <w:pPr>
        <w:pStyle w:val="Heading2"/>
      </w:pPr>
      <w:r>
        <w:t xml:space="preserve">Что исправлено в представлении</w:t>
      </w:r>
    </w:p>
    <w:p>
      <w:pPr>
        <w:pStyle w:val="FirstParagraph"/>
      </w:pPr>
      <w:r>
        <w:t xml:space="preserve">Аннотация переписана вокруг информационного предела, а не числа runs. Неподтверждённая grid-диагностика убрана из abstract/contributions и сохранена как отрицательный результат в supplement. Добавлены 19 проверенных DOI, fixed-domain/EiV контекст, нумерованные ссылки и литературные положения внутри аргументов. Новые графики имеют человеческие подписи, интервалы и support-conditional распределения; таблицы разделяют coefficient error и support recovery. Формулы Word являются native OMML, raw TeX проверяется автоматически.</w:t>
      </w:r>
    </w:p>
    <w:bookmarkEnd w:id="11"/>
    <w:bookmarkStart w:id="12" w:name="оставшиеся-границы-готовности"/>
    <w:p>
      <w:pPr>
        <w:pStyle w:val="Heading2"/>
      </w:pPr>
      <w:r>
        <w:t xml:space="preserve">Оставшиеся границы готовности</w:t>
      </w:r>
    </w:p>
    <w:p>
      <w:pPr>
        <w:pStyle w:val="FirstParagraph"/>
      </w:pPr>
      <w:r>
        <w:t xml:space="preserve">Полные adaptive WSINDy, WENDy и WmSINDy воспроизведены на закреплённых авторских версиях с описанными адаптерами Octave/TensorFlow. Завершены 448 парных fits, включая полный бюджет 40 000 шагов WmSINDy в каждом успешном запуске. Сравнение ограничено Ван-дер-Полем и 16 записями на условие; WENDy получает заданную структуру. Подробные результаты — reports/full_adaptive_results_RU.md и раздел 7.6 статьи. Компонентные проверки остаются отдельными экспериментами.</w:t>
      </w:r>
    </w:p>
    <w:p>
      <w:pPr>
        <w:pStyle w:val="BodyText"/>
      </w:pPr>
      <w:r>
        <w:t xml:space="preserve">Перед подачей нужны реальные авторы/аффилиации, декларации и человеческая проверка математики, кода и выводов. Квартиль проверяется по конкретной базе, году и категории; подготовка под журнал не гарантирует Q1-принятие. В журнал ничего не отправлено, открытый code/data DOI не опубликован.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2026-10-11T14:24:40Z</dcterms:created>
  <dcterms:modified xsi:type="dcterms:W3CDTF">2026-10-11T14:24:40Z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