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Исследование насыщения частоты измерений: выполненный этап</w:t>
      </w:r>
    </w:p>
    <w:p>
      <w:r>
        <w:t>Начато 10 октября, текущий отчёт — 11 октября 2026 года.</w:t>
      </w:r>
    </w:p>
    <w:p>
      <w:pPr>
        <w:pStyle w:val="Heading1"/>
      </w:pPr>
      <w:r>
        <w:t>Что сделано</w:t>
      </w:r>
    </w:p>
    <w:p>
      <w:r>
        <w:t xml:space="preserve">Прочитан исходный Word-план и его Markdown-источник. Проверены первичные источники по SINDy, WSINDy, continuum consistency, WENDy, WmSINDy и Fourier Weak SINDy. Создана </w:t>
      </w:r>
      <w:hyperlink r:id="rId11">
        <w:r>
          <w:rPr>
            <w:color w:val="235A91"/>
          </w:rPr>
          <w:t>карта литературы</w:t>
        </w:r>
      </w:hyperlink>
      <w:r>
        <w:t xml:space="preserve"> с версиями, ссылками, прочитанными частями и ограничениями проверки. Литературные положения встроены непосредственно в английскую рукопись, а не вынесены только в список источников.</w:t>
      </w:r>
    </w:p>
    <w:p>
      <w:r>
        <w:t xml:space="preserve">Дополнительно прочитаны два авторских noise-generation scripts WmSINDy, зафиксирован commit и хеши. </w:t>
      </w:r>
      <w:r>
        <w:rPr>
          <w:rFonts w:ascii="Consolas" w:hAnsi="Consolas"/>
        </w:rPr>
        <w:t>Correlated Noise</w:t>
      </w:r>
      <w:r>
        <w:t xml:space="preserve"> в проверенном скрипте означает корреляцию между компонентами состояния; временные векторы независимы. Pink-noise пример использует спектральную фильтрацию на фиксированном шаге. Различение этих постановок внесено в Related work статьи.</w:t>
      </w:r>
    </w:p>
    <w:p>
      <w:r>
        <w:t xml:space="preserve">Подготовлены </w:t>
      </w:r>
      <w:hyperlink r:id="rId12">
        <w:r>
          <w:rPr>
            <w:color w:val="235A91"/>
          </w:rPr>
          <w:t>английская статья</w:t>
        </w:r>
      </w:hyperlink>
      <w:r>
        <w:t xml:space="preserve">, </w:t>
      </w:r>
      <w:hyperlink r:id="rId13">
        <w:r>
          <w:rPr>
            <w:color w:val="235A91"/>
          </w:rPr>
          <w:t>подробные доказательства</w:t>
        </w:r>
      </w:hyperlink>
      <w:r>
        <w:t xml:space="preserve"> и BibTeX. Статья содержит постановку, математические результаты, методы, выполненные эксперименты, три таблицы, пять рисунков и обсуждение. Все исследовательские вычисления проведены на приватных CPU notebooks Kaggle в согласованном аккаунте malyshevdanil. Локально скачаны выходы, выполнен анализ и собраны Word-копии.</w:t>
      </w:r>
    </w:p>
    <w:p>
      <w:pPr>
        <w:pStyle w:val="Heading1"/>
      </w:pPr>
      <w:r>
        <w:t>Результаты выполненных экспериментов</w:t>
      </w:r>
    </w:p>
    <w:p>
      <w:r>
        <w:t>В основном пилоте завершены 4 320 test-fit, в независимой 80-seed серии — ещё 640. Ошибок выполнения fit и интегрирования прогнозов не зарегистрировано. Это проверка работоспособности; точность найденных уравнений оценивается отдельно. Семь проверок математической корректности прошли внутри каждого notebook.</w:t>
      </w:r>
    </w:p>
    <w:p>
      <w:r>
        <w:t>При фиксированном физическом OU-шуме линейная система показывает почти неизменную медианную ошибку около 2%, когда шаг уменьшается с 0.04 до 0.005. При независимом шуме ошибка в том же представительном случае уменьшается с 0.804% до 0.261%. Для Van der Pol с OU-шумом качество собственного STLS baseline существенно хуже: медианная ошибка около 80%, правильная структура только в 1–2 из 10 test-realizations. В независимой серии на 80 seed ошибка составляет около 56%, правильная структура — в 15–17 из 80. Различие серий показывает значимость объёма Monte Carlo и нестабильность выбора структуры.</w:t>
      </w:r>
    </w:p>
    <w:p>
      <w:r>
        <w:t>Однооконный линейный ratio estimator исследован отдельно на 1 000 OU-realizations и шести вложенных сетках. На самой мелкой сетке медиана абсолютной ошибки 0.228, 90-й процентиль 0.581, 99-й — 1.224. Последние два парных bootstrap-интервала улучшения целиком лежат внутри ±5%. Это численный пример насыщения квантилей конкретного estimator; безусловное MSE этого отношения по доказательству бесконечно. Проверка знаменателя нарушается в 18 из 1 000 реализаций.</w:t>
      </w:r>
    </w:p>
    <w:p>
      <w:r>
        <w:t>Для exact residual covariance выполнены 24 000 оценок остатка: 4 000 независимых шумовых paths, три амплитуды и две библиотеки. Общие paths переиспользуются между этими ячейками; 24 000 не объявляются независимыми повторениями. При шуме 50% от SD чистого состояния относительное расхождение эмпирической covariance с точной формулой 6.40%, с линейным приближением — 20.99%. Высшие гауссовские порядки дают 20.26% trace. Предсказанный exact trace 127.242 лежит внутри Monte Carlo интервала [125.189,129.855], first-order trace 101.464 — ниже него. При слабом шуме преимущество полной формулы почти неразличимо. Это проверка статистики остатков, а не доверительных интервалов sparse-коэффициентов.</w:t>
      </w:r>
    </w:p>
    <w:p>
      <w:r>
        <w:t>Прототип grid diagnostic выбирает 0.04 в 18 из 36 OU-ячеек, 0.02 — в девяти, 0.01 — в трёх; в шести отказывается от рекомендации. Только 16 из 108 комбинаций основного пилота удовлетворяют условию двух последовательных сгущений с интервалами внутри ±5%. Стабилизация plug-in covariance и validation score не гарантирует сохранение тестовой ошибки. Практический критерий частоты пока не подтверждён во всём пилоте. Зафиксированное ускорение отдельного этапа fitting нельзя выдавать за end-to-end выигрыш.</w:t>
      </w:r>
    </w:p>
    <w:p>
      <w:r>
        <w:t>Повторные независимые записи выявили различие процедур. В первой серии 400 блоков простое stacking восьми записей сужает разброс, но почти не снижает медиану. Дополнительная серия сравнивает три процедуры на 400 новых блоках по 32 записи; шаг остаётся 0.01, структура уравнения предоставляется каждой процедуре. При stacking медиана ошибки меняется с 3.51% до 3.83%; при усреднении исправленных слабых матриц до регрессии — с 3.51% до 0.431%. Улучшение медианы 87.7%, парный bootstrap-интервал [86.2%,88.6%]. Усреднение сенсорных записей с поправкой variance σ²/M даёт сходный результат. Доказано соответствующее утверждение о согласованности усреднённых матриц при M→∞ и последующем h→0; оно требует одинаковой чистой траектории и правильного фиксированного support. Исследование выполнено после первого отрицательного результата и обозначено exploratory.</w:t>
      </w:r>
    </w:p>
    <w:p>
      <w:r>
        <w:t>При проверке reference covariance на более мелкой сетке 0.0025 относительное отличие матриц на 0.005 не превышает 0.0445% в трёх проверенных Van der Pol случаях. Это oracle-state проверка; она не подтверждает каждый практический diagnostic с оценённой траекторией и структурой.</w:t>
      </w:r>
    </w:p>
    <w:p>
      <w:r>
        <w:t xml:space="preserve">Числа, интервалы, manifests и хеши архивов сведены в </w:t>
      </w:r>
      <w:hyperlink r:id="rId14">
        <w:r>
          <w:rPr>
            <w:color w:val="235A91"/>
          </w:rPr>
          <w:t>empirical_results.json</w:t>
        </w:r>
      </w:hyperlink>
      <w:r>
        <w:t>. Исходные результаты и таблицы сохранены в results; изображения для статьи — в manuscript/figures. Word-копия содержит настоящие таблицы и встроенные рисунки. Формулы сохранены как редактируемый TeX; журнальная типографика остаётся отдельным этапом.</w:t>
      </w:r>
    </w:p>
    <w:p>
      <w:pPr>
        <w:pStyle w:val="Heading1"/>
      </w:pPr>
      <w:r>
        <w:t>Полученные математические результаты</w:t>
      </w:r>
    </w:p>
    <w:p>
      <w:r>
        <w:t>1. Для фиксированных физических окон и OU-шума дискретная ковариация слабых интегралов сходится к двойному интегралу ковариационного ядра. Для ненулевого весового направления OU-ядро даёт положительную дисперсию.</w:t>
      </w:r>
    </w:p>
    <w:p>
      <w:r>
        <w:t>2. Для x′=ax слабая оценка a_hat=−Q(φ′y)/Q(φy) при сгущении сетки сходится к случайному отношению. Плотная запись на неизменном горизонте не делает эту конкретную оценку состоятельной.</w:t>
      </w:r>
    </w:p>
    <w:p>
      <w:r>
        <w:t>3. Для того же отношения без защиты знаменателя доказана бесконечность E|a_hat−a| и E(a_hat−a)² в непрерывном пределе. Поэтому его надо исследовать через квантили и частоту срабатывания явно заданной защиты знаменателя.</w:t>
      </w:r>
    </w:p>
    <w:p>
      <w:r>
        <w:t>4. Для полиномиальных уравнений и гауссовской Hermite-коррекции получена точная совместная covariance остатков всех окон и уравнений. Это конечная сумма OU-ядер с временами τ/q по гауссовским порядкам q. Коррекция среднего библиотеки сохраняет эти случайные слагаемые.</w:t>
      </w:r>
    </w:p>
    <w:p>
      <w:r>
        <w:t>5. Выведено локальное возмущение коэффициентов на фиксированном правильном support. Ковариационная формула относится к линейному surrogate; безусловная covariance всей случайной sparse-оценки не заявляется.</w:t>
      </w:r>
    </w:p>
    <w:p>
      <w:r>
        <w:t>6. Реализовано применение экспоненциального ядра двумя рекурсиями; оно не требует плотной N×N матрицы.</w:t>
      </w:r>
    </w:p>
    <w:p>
      <w:r>
        <w:t>Результаты 1–3 включают стандартные статистические механизмы. Гауссовская алгебра результата 4 также известна. Перспективный вклад — их конкретное соединение со слабой полиномиальной регрессией и диагностикой вычислительной сетки. Новизна относительно всей литературы ещё не доказана.</w:t>
      </w:r>
    </w:p>
    <w:p>
      <w:pPr>
        <w:pStyle w:val="Heading1"/>
      </w:pPr>
      <w:r>
        <w:t>Реализация и проверка</w:t>
      </w:r>
    </w:p>
    <w:p>
      <w:r>
        <w:t>Написаны модули генерации стационарного OU/AR(1), Hermite-библиотеки, слабых квадратур, exact covariance, простого STLS, систем ОДУ и grid diagnostic. Код обозначен как исследовательский прототип: он не является точной репликацией авторского MSTLS.</w:t>
      </w:r>
    </w:p>
    <w:p>
      <w:r>
        <w:t>Семь научно значимых проверок прошли локально:</w:t>
      </w:r>
    </w:p>
    <w:p>
      <w:pPr>
        <w:pStyle w:val="ListBullet"/>
      </w:pPr>
      <w:r>
        <w:t>рекурсивное применение ядра совпадает с плотной матрицей;</w:t>
      </w:r>
    </w:p>
    <w:p>
      <w:pPr>
        <w:pStyle w:val="ListBullet"/>
      </w:pPr>
      <w:r>
        <w:t>квадратура и знак интегрирования по частям совпадают с известным линейным решением;</w:t>
      </w:r>
    </w:p>
    <w:p>
      <w:pPr>
        <w:pStyle w:val="ListBullet"/>
      </w:pPr>
      <w:r>
        <w:t>начальная дисперсия OU задаётся стационарно; воспроизводимость и вложенность сохранены;</w:t>
      </w:r>
    </w:p>
    <w:p>
      <w:pPr>
        <w:pStyle w:val="ListBullet"/>
      </w:pPr>
      <w:r>
        <w:t>Hermite-коррекция математического ожидания проверена гауссовской квадратурой;</w:t>
      </w:r>
    </w:p>
    <w:p>
      <w:pPr>
        <w:pStyle w:val="ListBullet"/>
      </w:pPr>
      <w:r>
        <w:t>exact covariance и mean проверены многомерной гауссовской квадратурой, включая смешанный шум, сырую библиотеку и ошибочную калибровочную дисперсию;</w:t>
      </w:r>
    </w:p>
    <w:p>
      <w:pPr>
        <w:pStyle w:val="ListBullet"/>
      </w:pPr>
      <w:r>
        <w:t>чистые линейная и Van der Pol системы восстанавливаются с правильным support;</w:t>
      </w:r>
    </w:p>
    <w:p>
      <w:pPr>
        <w:pStyle w:val="ListBullet"/>
      </w:pPr>
      <w:r>
        <w:t>diagnostic отказывается от рекомендации при нестабильном support и выбирает самую редкую допустимую сетку в проверочном случае.</w:t>
      </w:r>
    </w:p>
    <w:p>
      <w:r>
        <w:t>Эти малые проверки относятся к корректности кода. Выполненные шумные серии описаны выше; тесты корректности сами по себе не подтверждают практическое насыщение.</w:t>
      </w:r>
    </w:p>
    <w:p>
      <w:pPr>
        <w:pStyle w:val="Heading1"/>
      </w:pPr>
      <w:r>
        <w:t>Готовые вычисления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Пакет</w:t>
            </w:r>
          </w:p>
        </w:tc>
        <w:tc>
          <w:tcPr>
            <w:tcW w:type="dxa" w:w="3213"/>
          </w:tcPr>
          <w:p>
            <w:r>
              <w:t>Содержание</w:t>
            </w:r>
          </w:p>
        </w:tc>
        <w:tc>
          <w:tcPr>
            <w:tcW w:type="dxa" w:w="3213"/>
          </w:tcPr>
          <w:p>
            <w:r>
              <w:t>Статус</w:t>
            </w:r>
          </w:p>
        </w:tc>
      </w:tr>
      <w:tr>
        <w:tc>
          <w:tcPr>
            <w:tcW w:type="dxa" w:w="3213"/>
          </w:tcPr>
          <w:p>
            <w:r>
              <w:t>Kaggle smoke</w:t>
            </w:r>
          </w:p>
        </w:tc>
        <w:tc>
          <w:tcPr>
            <w:tcW w:type="dxa" w:w="3213"/>
          </w:tcPr>
          <w:p>
            <w:r>
              <w:t>Тесты и 4 fit одной линейной системы</w:t>
            </w:r>
          </w:p>
        </w:tc>
        <w:tc>
          <w:tcPr>
            <w:tcW w:type="dxa" w:w="3213"/>
          </w:tcPr>
          <w:p>
            <w:r>
              <w:t>Завершён; выходы проверены</w:t>
            </w:r>
          </w:p>
        </w:tc>
      </w:tr>
      <w:tr>
        <w:tc>
          <w:tcPr>
            <w:tcW w:type="dxa" w:w="3213"/>
          </w:tcPr>
          <w:p>
            <w:r>
              <w:t>Kaggle pilot</w:t>
            </w:r>
          </w:p>
        </w:tc>
        <w:tc>
          <w:tcPr>
            <w:tcW w:type="dxa" w:w="3213"/>
          </w:tcPr>
          <w:p>
            <w:r>
              <w:t>2 системы × 3 модели шума × 3 τ/L × 2 уровня шума × 3 библиотеки × 10 test seed × 4 шага = 4 320 fit</w:t>
            </w:r>
          </w:p>
        </w:tc>
        <w:tc>
          <w:tcPr>
            <w:tcW w:type="dxa" w:w="3213"/>
          </w:tcPr>
          <w:p>
            <w:r>
              <w:t>Завершён; все 4 320 записей сохранены</w:t>
            </w:r>
          </w:p>
        </w:tc>
      </w:tr>
      <w:tr>
        <w:tc>
          <w:tcPr>
            <w:tcW w:type="dxa" w:w="3213"/>
          </w:tcPr>
          <w:p>
            <w:r>
              <w:t>Kaggle covariance</w:t>
            </w:r>
          </w:p>
        </w:tc>
        <w:tc>
          <w:tcPr>
            <w:tcW w:type="dxa" w:w="3213"/>
          </w:tcPr>
          <w:p>
            <w:r>
              <w:t>Van der Pol, 80 независимых реализаций, 4 шага, raw/known correction = 640 fit</w:t>
            </w:r>
          </w:p>
        </w:tc>
        <w:tc>
          <w:tcPr>
            <w:tcW w:type="dxa" w:w="3213"/>
          </w:tcPr>
          <w:p>
            <w:r>
              <w:t>Завершён; все 640 записей сохранены</w:t>
            </w:r>
          </w:p>
        </w:tc>
      </w:tr>
      <w:tr>
        <w:tc>
          <w:tcPr>
            <w:tcW w:type="dxa" w:w="3213"/>
          </w:tcPr>
          <w:p>
            <w:r>
              <w:t>Scalar ratio</w:t>
            </w:r>
          </w:p>
        </w:tc>
        <w:tc>
          <w:tcPr>
            <w:tcW w:type="dxa" w:w="3213"/>
          </w:tcPr>
          <w:p>
            <w:r>
              <w:t>1 000 seed и 6 вложенных сеток, квантили и знаменатель</w:t>
            </w:r>
          </w:p>
        </w:tc>
        <w:tc>
          <w:tcPr>
            <w:tcW w:type="dxa" w:w="3213"/>
          </w:tcPr>
          <w:p>
            <w:r>
              <w:t>Завершён внутри covariance notebook</w:t>
            </w:r>
          </w:p>
        </w:tc>
      </w:tr>
      <w:tr>
        <w:tc>
          <w:tcPr>
            <w:tcW w:type="dxa" w:w="3213"/>
          </w:tcPr>
          <w:p>
            <w:r>
              <w:t>Kaggle extended</w:t>
            </w:r>
          </w:p>
        </w:tc>
        <w:tc>
          <w:tcPr>
            <w:tcW w:type="dxa" w:w="3213"/>
          </w:tcPr>
          <w:p>
            <w:r>
              <w:t>24 000 residual vectors; 1 600 oracle-support fit; проверка reference</w:t>
            </w:r>
          </w:p>
        </w:tc>
        <w:tc>
          <w:tcPr>
            <w:tcW w:type="dxa" w:w="3213"/>
          </w:tcPr>
          <w:p>
            <w:r>
              <w:t>Завершён; выходы проверены</w:t>
            </w:r>
          </w:p>
        </w:tc>
      </w:tr>
      <w:tr>
        <w:tc>
          <w:tcPr>
            <w:tcW w:type="dxa" w:w="3213"/>
          </w:tcPr>
          <w:p>
            <w:r>
              <w:t>Kaggle replication</w:t>
            </w:r>
          </w:p>
        </w:tc>
        <w:tc>
          <w:tcPr>
            <w:tcW w:type="dxa" w:w="3213"/>
          </w:tcPr>
          <w:p>
            <w:r>
              <w:t>400 блоков × 6 чисел записей × 3 процедуры = 7 200 oracle-support fit</w:t>
            </w:r>
          </w:p>
        </w:tc>
        <w:tc>
          <w:tcPr>
            <w:tcW w:type="dxa" w:w="3213"/>
          </w:tcPr>
          <w:p>
            <w:r>
              <w:t>Завершён; выходы проверены</w:t>
            </w:r>
          </w:p>
        </w:tc>
      </w:tr>
    </w:tbl>
    <w:p>
      <w:r>
        <w:t>Train, validation, test и calibration streams независимы. Порог и сетка выбираются по train/validation; test truth используется только для итоговых метрик. Окна фиксированы в физических единицах. Подсетки OU используют одну реализацию. В fixed-index контроле на каждом шаге генерируется новый процесс с неизменным ρ; это намеренно другая физическая модель.</w:t>
      </w:r>
    </w:p>
    <w:p>
      <w:r>
        <w:t>Выходы содержат manifest с версиями и хешами конфигурации/кода, JSONL fit, covariance/остатки NPZ, ошибки запуска, CSV-таблицы и PDF/PNG. Bootstrap использует seed, а не окна. Ошибки fit включаются в частоту неправильного support; квантили коэффициентов по успешным fit помечаются как условные. Учитывается отдельный failure rate.</w:t>
      </w:r>
    </w:p>
    <w:p>
      <w:r>
        <w:t>В пилоте используются известные параметры шума и независимая калибровка. Для модели calibration пока нет раздельной оценки OU+nugget. Grid diagnostic использует covariance на самой мелкой сетке как конечный proxy; чтобы трактовать его как P∞, требуется отдельная проверка дальнейшего сгущения.</w:t>
      </w:r>
    </w:p>
    <w:p>
      <w:pPr>
        <w:pStyle w:val="Heading1"/>
      </w:pPr>
      <w:r>
        <w:t>Что необходимо перед завершением статьи</w:t>
      </w:r>
    </w:p>
    <w:p>
      <w:r>
        <w:t>1. Пересмотреть sparse baseline с учётом обнаруженных ошибок выбора структуры и слабого diagnostic; базовый пилот и все дополнительные серии уже выполнены.</w:t>
      </w:r>
    </w:p>
    <w:p>
      <w:r>
        <w:t>2. Зафиксировать улучшенный алгоритм и независимую подтверждающую конфигурацию. Текущие дополнительные проверки exploratory; их нельзя переименовать в confirmatory задним числом.</w:t>
      </w:r>
    </w:p>
    <w:p>
      <w:r>
        <w:t>3. По пилоту зафиксировать clean-resolution/window checks, окончательный алгоритм и confirmatory конфигурацию; затем расширить systems/noise/seeds. Пилот не использовать как подтверждающую серию после настройки на его результатах.</w:t>
      </w:r>
    </w:p>
    <w:p>
      <w:r>
        <w:t>4. Воспроизвести авторский WSINDy/MSTLS и representative WmSINDy cells; проверить лицензии при использовании кода.</w:t>
      </w:r>
    </w:p>
    <w:p>
      <w:r>
        <w:t>5. Добавить duration controls, calibration repetitions, варианты сглаживания и внешний Duffing benchmark. Повторные одинаковые траектории уже исследованы; следующая проверка должна охватить различные начальные условия и неизвестную структуру. Прогнозы на новых начальных условиях уже вычислены в pilot runner.</w:t>
      </w:r>
    </w:p>
    <w:p>
      <w:r>
        <w:t>6. Проверить устойчивость reference covariance при дополнительном сгущении, влияние окон и уровней шума, частоту ошибочного выбора сетки, стоимость диагностики и end-to-end runtime.</w:t>
      </w:r>
    </w:p>
    <w:p>
      <w:r>
        <w:t>7. Завершить citation chaining и поиск аналогов exact polynomial covariance, сверить журнальную WmSINDy с препринтом, выбрать журнал по фактическому результату.</w:t>
      </w:r>
    </w:p>
    <w:p>
      <w:r>
        <w:t>8. Численные результаты, рисунки и выводы уже внесены в статью. Для подачи подготовить journal TeX/PDF, авторские сведения и публичный архив после согласования публикации.</w:t>
      </w:r>
    </w:p>
    <w:p>
      <w:pPr>
        <w:pStyle w:val="Heading1"/>
      </w:pPr>
      <w:r>
        <w:t>Вычислительный доступ и текущий статус</w:t>
      </w:r>
    </w:p>
    <w:p>
      <w:r>
        <w:t xml:space="preserve">Пользователь подтвердил аккаунт </w:t>
      </w:r>
      <w:r>
        <w:rPr>
          <w:rFonts w:ascii="Consolas" w:hAnsi="Consolas"/>
        </w:rPr>
        <w:t>malyshevdanil</w:t>
      </w:r>
      <w:r>
        <w:t xml:space="preserve">. Все пять приватных CPU notebooks завершились и скачаны. Credentials не включались в исследовательские исходники, документы или архивы. Фактические версии и execution snapshots сохранены. </w:t>
      </w:r>
      <w:hyperlink r:id="rId15">
        <w:r>
          <w:rPr>
            <w:color w:val="235A91"/>
          </w:rPr>
          <w:t>Статус запусков и команды воспроизведения</w:t>
        </w:r>
      </w:hyperlink>
      <w:r>
        <w:t>.</w:t>
      </w:r>
    </w:p>
    <w:p>
      <w:r>
        <w:t>Статус: выполнены аналитический этап, программный прототип, пилот и дополнительные численные исследования; написана рабочая статья с фактическими результатами и ограничениями. Submission-ready версия требует авторских сравнений, доработки diagnostic, подтверждающей серии и оформления. Новизна относительно всей литературы и принятие журналом не установлены.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WSINDy / FIXED-HORIZON RESEARCH DRAFT • 11.10.2026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5A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5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35A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literature/reading_notes_RU.md" TargetMode="External"/><Relationship Id="rId12" Type="http://schemas.openxmlformats.org/officeDocument/2006/relationships/hyperlink" Target="../manuscript/article_en.md" TargetMode="External"/><Relationship Id="rId13" Type="http://schemas.openxmlformats.org/officeDocument/2006/relationships/hyperlink" Target="../manuscript/theory.md" TargetMode="External"/><Relationship Id="rId14" Type="http://schemas.openxmlformats.org/officeDocument/2006/relationships/hyperlink" Target="empirical_results.json" TargetMode="External"/><Relationship Id="rId15" Type="http://schemas.openxmlformats.org/officeDocument/2006/relationships/hyperlink" Target="../kaggle/README_RU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насыщения частоты измерений: выполненный этап</dc:title>
  <dc:subject>Working research manuscript and exploratory Kaggle results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