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4d85693990b28c90f852d0dac94077ce86aa83d"/>
    <w:p>
      <w:pPr>
        <w:pStyle w:val="Heading1"/>
      </w:pPr>
      <w:r>
        <w:t xml:space="preserve">Дополнительные расчёты по замечаниям к статье</w:t>
      </w:r>
    </w:p>
    <w:p>
      <w:pPr>
        <w:pStyle w:val="FirstParagraph"/>
      </w:pPr>
      <w:r>
        <w:t xml:space="preserve">Все расчёты выполнены на Kaggle. Повтор 400 блоков совпадает с прежними нормами ошибок: максимальное отклонение 0.000e+00; это не новая независимая выборка.</w:t>
      </w:r>
    </w:p>
    <w:p>
      <w:pPr>
        <w:pStyle w:val="BodyText"/>
      </w:pPr>
      <w:r>
        <w:t xml:space="preserve">Информационная граница Van der Pol: относительная RMS-шкала 0.013093 при известном начальном состоянии и 0.016904 для слабых влияний с аннулированием чувствительности к начальному состоянию.</w:t>
      </w:r>
      <w:r>
        <w:t xml:space="preserve"> </w:t>
      </w:r>
      <w:r>
        <w:t xml:space="preserve">WmSINDy: RMSE 0.019258; WENDy: 0.021542. Это сравнение шкал, а не доказательство эффективности смещённых оценок.</w:t>
      </w:r>
    </w:p>
    <w:bookmarkStart w:id="9" w:name="оптимальные-комбинации-окон"/>
    <w:p>
      <w:pPr>
        <w:pStyle w:val="Heading2"/>
      </w:pPr>
      <w:r>
        <w:t xml:space="preserve">Оптимальные комбинации окон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Семейство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Эффективность относительно полного пути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Эффективность относительно слабого класса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F30 (30 windows)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F120 (120 windows)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0.87949</w:t>
            </w:r>
          </w:p>
        </w:tc>
      </w:tr>
    </w:tbl>
    <w:bookmarkEnd w:id="9"/>
    <w:bookmarkStart w:id="10" w:name="смещение-и-разброс"/>
    <w:p>
      <w:pPr>
        <w:pStyle w:val="Heading2"/>
      </w:pPr>
      <w:r>
        <w:t xml:space="preserve">Смещение и разброс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Смещение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Разброс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 смещения в MSE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Stacked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Stacked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Stacked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weak matrices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weak matrices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weak matrices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sensor path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sensor path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sensor path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93.5%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2026-10-11T14:52:42Z</dcterms:created>
  <dcterms:modified xsi:type="dcterms:W3CDTF">2026-10-11T14:52:42Z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