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Heterogeneous initial states: weak instruments and independent-record inference</w:t>
      </w:r>
    </w:p>
    <w:bookmarkStart w:id="12" w:name="X8fa20d18b060ab4c9f6321a3715d4dbfeb44760"/>
    <w:p>
      <w:pPr>
        <w:pStyle w:val="Heading2"/>
      </w:pPr>
      <w:r>
        <w:t xml:space="preserve">S16. Heterogeneous initial states and independent weak instruments</w:t>
      </w:r>
    </w:p>
    <w:p>
      <w:pPr>
        <w:pStyle w:val="FirstParagraph"/>
      </w:pPr>
      <w:r>
        <w:t xml:space="preserve">Consider independent records</w:t>
      </w:r>
      <w:r>
        <w:t xml:space="preserve"> </w:t>
      </w:r>
      <m:oMath>
        <m:sSub>
          <m:e>
            <m:r>
              <m:t>Y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of a deterministic polynomial ODE. The initial states may form a deterministic triangular array; alternatively they may be iid draws from a compact set, with the following conditions imposed conditionally on them. The sensor covariance is</w:t>
      </w:r>
      <w:r>
        <w:t xml:space="preserve"> </w:t>
      </w:r>
      <m:oMath>
        <m:sSub>
          <m:e>
            <m:r>
              <m:t>C</m:t>
            </m:r>
          </m:e>
          <m:sub>
            <m:r>
              <m:t>ν</m:t>
            </m:r>
          </m:sub>
        </m:sSub>
      </m:oMath>
      <w:r>
        <w:t xml:space="preserve">. Each Hermite-corrected, exactly integrated weak moment obeys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{</m:t>
          </m:r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identity follows by taking expectations of the corrected polynomial and applying the ODE weak identity separately to each trajectory. Its validity is uniform over allowed initial states; the distribution of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need not be estimated. The numerical version needs the quadrature condition below.</w:t>
      </w:r>
    </w:p>
    <w:bookmarkStart w:id="9" w:name="Xc60f19d3c45dc8b16e092f27fe8202be5e0cbdb"/>
    <w:p>
      <w:pPr>
        <w:pStyle w:val="Heading3"/>
      </w:pPr>
      <w:r>
        <w:t xml:space="preserve">S16.1. Numbered assumptions and fixed-noise estimating equations</w:t>
      </w:r>
    </w:p>
    <w:p>
      <w:pPr>
        <w:pStyle w:val="FirstParagraph"/>
      </w:pPr>
      <w:r>
        <w:rPr>
          <w:b/>
          <w:bCs/>
        </w:rPr>
        <w:t xml:space="preserve">(A1)</w:t>
      </w:r>
      <w:r>
        <w:t xml:space="preserve"> </w:t>
      </w:r>
      <w:r>
        <w:t xml:space="preserve">The coefficient vector has fixed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belongs to an open identifiable neighborhood. Trajectories and their first coefficient/initial-state sensitivities exist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. Initial states lie in a compact set on which the selected moments have uniformly bounded moments of order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(A2)</w:t>
      </w:r>
      <w:r>
        <w:t xml:space="preserve"> </w:t>
      </w:r>
      <w:r>
        <w:t xml:space="preserve">Records and any auxiliary randomizations are independent across</w:t>
      </w:r>
      <w:r>
        <w:t xml:space="preserve"> </w:t>
      </w:r>
      <m:oMath>
        <m:r>
          <m:t>r</m:t>
        </m:r>
      </m:oMath>
      <w:r>
        <w:t xml:space="preserve">. Noise is Gaussian with known positive covariance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. Weak tests and quadrature rules are fixed independently of each record’s noise. The coefficient structure is supplied.</w:t>
      </w:r>
    </w:p>
    <w:p>
      <w:pPr>
        <w:pStyle w:val="BodyText"/>
      </w:pPr>
      <w:r>
        <w:rPr>
          <w:b/>
          <w:bCs/>
        </w:rPr>
        <w:t xml:space="preserve">(A3)</w:t>
      </w:r>
      <w:r>
        <w:t xml:space="preserve"> </w:t>
      </w:r>
      <w:r>
        <w:t xml:space="preserve">For every record there are two conditionally independent views</w:t>
      </w:r>
      <w:r>
        <w:t xml:space="preserve"> </w:t>
      </w:r>
      <m:oMath>
        <m:sSubSup>
          <m:e>
            <m:r>
              <m:t>Y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Y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with mean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r</m:t>
                </m:r>
              </m:sub>
            </m:sSub>
          </m:sub>
        </m:sSub>
      </m:oMath>
      <w:r>
        <w:t xml:space="preserve"> </w:t>
      </w:r>
      <w:r>
        <w:t xml:space="preserve">and covariance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. An instrument</w:t>
      </w:r>
      <w:r>
        <w:t xml:space="preserve"> </w:t>
      </w:r>
      <m:oMath>
        <m:sSubSup>
          <m:e>
            <m:r>
              <m:t>L</m:t>
            </m:r>
          </m:e>
          <m:sub>
            <m:r>
              <m:t>r</m:t>
            </m:r>
          </m:sub>
          <m:sup>
            <m:r>
              <m:rPr>
                <m:sty m:val="p"/>
              </m:rPr>
              <m:t>±</m:t>
            </m:r>
          </m:sup>
        </m:sSubSup>
      </m:oMath>
      <w:r>
        <w:t xml:space="preserve"> </w:t>
      </w:r>
      <w:r>
        <w:t xml:space="preserve">is measurable with respect to its own view and independent auxiliary training data. Corrected moments</w:t>
      </w:r>
      <w:r>
        <w:t xml:space="preserve"> </w:t>
      </w:r>
      <m:oMath>
        <m:sSubSup>
          <m:e>
            <m:r>
              <m:t>m</m:t>
            </m:r>
          </m:e>
          <m:sub>
            <m:r>
              <m:t>r</m:t>
            </m:r>
          </m:sub>
          <m:sup>
            <m:r>
              <m:rPr>
                <m:sty m:val="p"/>
              </m:rPr>
              <m:t>±</m:t>
            </m:r>
          </m:sup>
        </m:sSubSup>
      </m:oMath>
      <w:r>
        <w:t xml:space="preserve"> </w:t>
      </w:r>
      <w:r>
        <w:t xml:space="preserve">use the variance of their own view. The instrument map is fixed conditional on that training data and has the moment bounds required in (A1).</w:t>
      </w:r>
    </w:p>
    <w:p>
      <w:pPr>
        <w:pStyle w:val="BodyText"/>
      </w:pPr>
      <w:r>
        <w:rPr>
          <w:b/>
          <w:bCs/>
        </w:rPr>
        <w:t xml:space="preserve">(A4)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t>L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sSubSup>
          <m:e>
            <m:r>
              <m:t>b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t>L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  <m:sSubSup>
          <m:e>
            <m:r>
              <m:t>b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ψ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r</m:t>
            </m:r>
          </m:sub>
        </m:sSub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 Conditional on the training data,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∑</m:t>
        </m:r>
        <m:r>
          <m:t>E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nonsingular, 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∑</m:t>
        </m:r>
        <m:r>
          <m:rPr>
            <m:sty m:val="p"/>
          </m:rPr>
          <m:t>Var</m:t>
        </m:r>
        <m:r>
          <m:rPr>
            <m:sty m:val="p"/>
          </m:rPr>
          <m:t>(</m:t>
        </m:r>
        <m:sSub>
          <m:e>
            <m:r>
              <m:t>ψ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ψ</m:t>
            </m:r>
          </m:sub>
        </m:sSub>
      </m:oMath>
      <w:r>
        <w:t xml:space="preserve"> </w:t>
      </w:r>
      <w:r>
        <w:t xml:space="preserve">positive definite. A law of large numbers holds for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the Lindeberg condition holds for</w:t>
      </w:r>
      <w:r>
        <w:t xml:space="preserve"> </w:t>
      </w:r>
      <m:oMath>
        <m:sSub>
          <m:e>
            <m:r>
              <m:t>ψ</m:t>
            </m:r>
          </m:e>
          <m:sub>
            <m:r>
              <m:t>r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(A5)</w:t>
      </w:r>
      <w:r>
        <w:t xml:space="preserve"> </w:t>
      </w:r>
      <w:r>
        <w:t xml:space="preserve">Exact integration is used, or the average instrumented quadrature defect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This condition concerns centered continuous-parameter inference. A vanishing average defect alone suffices for consistency.</w:t>
      </w:r>
    </w:p>
    <w:p>
      <w:pPr>
        <w:pStyle w:val="BodyText"/>
      </w:pPr>
      <w:r>
        <w:rPr>
          <w:b/>
          <w:bCs/>
        </w:rPr>
        <w:t xml:space="preserve">Theorem 3 (heterogeneous-record weak estimating equations).</w:t>
      </w:r>
      <w:r>
        <w:t xml:space="preserve"> </w:t>
      </w:r>
      <w:r>
        <w:t xml:space="preserve">Under (A1)–(A5), conditional on the independent training data,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 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V</m:t>
              </m:r>
            </m:e>
            <m:sub>
              <m:r>
                <m:t>ψ</m:t>
              </m:r>
            </m:sub>
          </m:sSub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empirical covariance of the</w:t>
      </w:r>
      <w:r>
        <w:t xml:space="preserve"> </w:t>
      </w:r>
      <m:oMath>
        <m:r>
          <m:t>p</m:t>
        </m:r>
      </m:oMath>
      <w:r>
        <w:t xml:space="preserve">-dimensional record scores, combined with the mean derivative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n</m:t>
            </m:r>
          </m:sub>
        </m:sSub>
      </m:oMath>
      <w:r>
        <w:t xml:space="preserve">, consistently estimates this sandwich. Thus a rich weak family requires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empirical score covariance, while its within-record weights can come from the full model covariance in Proposition 3. Fixed-noise consistency applies to the stated independent-instrument construction. It does not follow merely by inserting a same-record pilot into</w:t>
      </w:r>
      <w:r>
        <w:t xml:space="preserve"> </w:t>
      </w:r>
      <m:oMath>
        <m:sSubSup>
          <m:e>
            <m:r>
              <m:t>D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  <m:sSubSup>
          <m:e>
            <m:r>
              <m:rPr>
                <m:sty m:val="p"/>
              </m:rPr>
              <m:t>Ω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Conditional on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training data,</w:t>
      </w:r>
      <w:r>
        <w:t xml:space="preserve"> </w:t>
      </w:r>
      <m:oMath>
        <m:sSubSup>
          <m:e>
            <m:r>
              <m:t>L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is independent of</w:t>
      </w:r>
      <w:r>
        <w:t xml:space="preserve"> </w:t>
      </w:r>
      <m:oMath>
        <m:sSubSup>
          <m:e>
            <m:r>
              <m:t>m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and conversely. Hence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training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E</m:t>
          </m:r>
          <m:sSubSup>
            <m:e>
              <m:r>
                <m:t>L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t> </m:t>
          </m:r>
          <m:r>
            <m:t>E</m:t>
          </m:r>
          <m:sSubSup>
            <m:e>
              <m:r>
                <m:t>m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E</m:t>
          </m:r>
          <m:sSubSup>
            <m:e>
              <m:r>
                <m:t>L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 </m:t>
          </m:r>
          <m:r>
            <m:t>E</m:t>
          </m:r>
          <m:sSubSup>
            <m:e>
              <m:r>
                <m:t>m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exact identity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acc>
              <m:accPr>
                <m:chr m:val="‾"/>
              </m:accPr>
              <m:e>
                <m:r>
                  <m:t>ψ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gives consistency by the law of large numbers, followed by the displayed CLT by Lindeberg and Slutsky. The empirical score covariance converges to</w:t>
      </w:r>
      <w:r>
        <w:t xml:space="preserve"> </w:t>
      </w:r>
      <m:oMath>
        <m:sSub>
          <m:e>
            <m:r>
              <m:t>V</m:t>
            </m:r>
          </m:e>
          <m:sub>
            <m:r>
              <m:t>ψ</m:t>
            </m:r>
          </m:sub>
        </m:sSub>
      </m:oMath>
      <w:r>
        <w:t xml:space="preserve">: each conditional mean is zero, so variation of the deterministic trajectories creates no between-record mean term. Replacing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the consistent estimate changes this covariance by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under the moment conditions. The quadrature assumption makes its centered contribution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after multiplication by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This is the standard estimating-equation/GMM argument</w:t>
      </w:r>
      <w:r>
        <w:t xml:space="preserve"> </w:t>
      </w:r>
      <w:r>
        <w:t xml:space="preserve">[1, 2]</w:t>
      </w:r>
      <w:r>
        <w:t xml:space="preserve">, with the independent-instrument identity addressing the incidental-initial-state setting.</w:t>
      </w:r>
      <w:r>
        <w:t xml:space="preserve"> </w:t>
      </w:r>
      <m:oMath>
        <m:r>
          <m:rPr>
            <m:sty m:val="p"/>
          </m:rPr>
          <m:t>▫</m:t>
        </m:r>
      </m:oMath>
    </w:p>
    <w:bookmarkEnd w:id="9"/>
    <w:bookmarkStart w:id="10" w:name="X16a1a31a2bd6e271ee1d78b59a8adb569562345"/>
    <w:p>
      <w:pPr>
        <w:pStyle w:val="Heading3"/>
      </w:pPr>
      <w:r>
        <w:t xml:space="preserve">S16.2. Gaussian construction and local information reference</w:t>
      </w:r>
    </w:p>
    <w:p>
      <w:pPr>
        <w:pStyle w:val="FirstParagraph"/>
      </w:pPr>
      <w:r>
        <w:t xml:space="preserve">For known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, draw</w:t>
      </w:r>
      <w:r>
        <w:t xml:space="preserve"> </w:t>
      </w:r>
      <m:oMath>
        <m:sSub>
          <m:e>
            <m:r>
              <m:t>ζ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independently and set</w:t>
      </w:r>
      <w:r>
        <w:t xml:space="preserve"> </w:t>
      </w:r>
      <m:oMath>
        <m:sSubSup>
          <m:e>
            <m:r>
              <m:t>Y</m:t>
            </m:r>
          </m:e>
          <m:sub>
            <m:r>
              <m:t>r</m:t>
            </m:r>
          </m:sub>
          <m:sup>
            <m:r>
              <m:rPr>
                <m:sty m:val="p"/>
              </m:rPr>
              <m:t>±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r</m:t>
            </m:r>
          </m:sub>
        </m:sSub>
        <m:r>
          <m:rPr>
            <m:sty m:val="p"/>
          </m:rPr>
          <m:t>±</m:t>
        </m:r>
        <m:sSub>
          <m:e>
            <m:r>
              <m:t>ζ</m:t>
            </m:r>
          </m:e>
          <m:sub>
            <m:r>
              <m:t>r</m:t>
            </m:r>
          </m:sub>
        </m:sSub>
      </m:oMath>
      <w:r>
        <w:t xml:space="preserve">. Their cross-covariance is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; jointly Gaussian views are independent, have identical mean and covariance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. Together they recover the original record. This Gaussian randomization is an established data-fission construction</w:t>
      </w:r>
      <w:r>
        <w:t xml:space="preserve"> </w:t>
      </w:r>
      <w:r>
        <w:t xml:space="preserve">[3]</w:t>
      </w:r>
      <w:r>
        <w:t xml:space="preserve">. It is used here to check finite-noise instruments, not proposed as a new general splitting method.</w:t>
      </w:r>
    </w:p>
    <w:p>
      <w:pPr>
        <w:pStyle w:val="BodyText"/>
      </w:pPr>
      <w:r>
        <w:t xml:space="preserve">For a supplied clean trajectory, write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E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Cov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The deterministic optimal instrument within the prescribed linear moments is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  <m:sSubSup>
          <m:e>
            <m:r>
              <m:rPr>
                <m:sty m:val="p"/>
              </m:rPr>
              <m:t>Ω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Direct calculation gives the oracle covariance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r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r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bSup>
                    </m:e>
                  </m:nary>
                  <m:sSubSup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  <m:sSub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 fixed-family moment reference at finite noise. Proposition 3 evaluates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including all Hermite orders. A noisy</w:t>
      </w:r>
      <w:r>
        <w:t xml:space="preserve"> </w:t>
      </w:r>
      <m:oMath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in place of</w:t>
      </w:r>
      <w:r>
        <w:t xml:space="preserve"> </w:t>
      </w:r>
      <m:oMath>
        <m:sSubSup>
          <m:e>
            <m:r>
              <m:t>D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introduces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can invalidate the zero-mean score. Independent instruments preserve the mean identity while generally changing the finite-noise covariance from this oracle expression.</w:t>
      </w:r>
    </w:p>
    <w:p>
      <w:pPr>
        <w:pStyle w:val="BodyText"/>
      </w:pPr>
      <w:r>
        <w:t xml:space="preserve">In the local Gaussian experiment, each record has coefficient sensitivity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initial sensitivity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</m:sub>
        </m:sSub>
      </m:oMath>
      <w:r>
        <w:t xml:space="preserve">. The joint information for</w:t>
      </w:r>
      <w:r>
        <w:t xml:space="preserve"> </w:t>
      </w:r>
      <m:oMath>
        <m:r>
          <m:t>θ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separate nuisance blocks. Its coefficient Schur complement is exactly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θ</m:t>
                      </m:r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θ</m:t>
                      </m:r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u</m:t>
                      </m:r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u</m:t>
                      </m:r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Theorem 2 applies record by record. With known shape and noise covariance</w:t>
      </w:r>
      <w:r>
        <w:t xml:space="preserve"> </w:t>
      </w:r>
      <m:oMath>
        <m:sSup>
          <m:e>
            <m:r>
              <m:t>ϵ</m:t>
            </m:r>
          </m:e>
          <m:sup>
            <m:r>
              <m:t>2</m:t>
            </m:r>
          </m:sup>
        </m:sSup>
        <m:r>
          <m:t>C</m:t>
        </m:r>
      </m:oMath>
      <w:r>
        <w:t xml:space="preserve">, a fixed test span gives the order-one moment information</w:t>
      </w:r>
      <w:r>
        <w:t xml:space="preserve"> </w:t>
      </w:r>
      <m:oMath>
        <m:sSubSup>
          <m:e>
            <m:r>
              <m:t>D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  <m:sSubSup>
          <m:e>
            <m:r>
              <m:rPr>
                <m:sty m:val="p"/>
              </m:rPr>
              <m:t>Ω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. Dense spans approach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any fixed finite collection of regular trajectories. Thus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e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sharp local reference for boundary-free influences in the product experiment. This exact block calculation alone supplies neither a fixed-noise incidental-parameter MLE theorem nor a growing-record, growing-span uniform efficiency result.</w:t>
      </w:r>
    </w:p>
    <w:p>
      <w:pPr>
        <w:pStyle w:val="BodyText"/>
      </w:pPr>
      <w:r>
        <w:t xml:space="preserve">The symmetric independent-view score also preserves the leading influence under the following additional local conditions: its instruments converge in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δ</m:t>
            </m:r>
          </m:sup>
        </m:sSup>
      </m:oMath>
      <w:r>
        <w:t xml:space="preserve"> </w:t>
      </w:r>
      <w:r>
        <w:t xml:space="preserve">to the deterministic correct-covariance instruments; their perturbation is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; weak moments have an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expansion with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remainder; and covariance solves remain regular for the fixed span.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{</m:t>
          </m:r>
          <m:sSubSup>
            <m:e>
              <m:r>
                <m:t>L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e>
              <m:r>
                <m:t>m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Sup>
            <m:e>
              <m:r>
                <m:t>m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 </m:t>
          </m:r>
          <m:sSub>
            <m:e>
              <m:r>
                <m:t>m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rPr>
              <m:sty m:val="p"/>
            </m:rPr>
            <m:t>(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Indeed the first-order moments are linear in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</m:sub>
        </m:sSub>
        <m:r>
          <m:rPr>
            <m:sty m:val="p"/>
          </m:rPr>
          <m:t>±</m:t>
        </m:r>
        <m:sSub>
          <m:e>
            <m:r>
              <m:t>ζ</m:t>
            </m:r>
          </m:e>
          <m:sub>
            <m:r>
              <m:t>r</m:t>
            </m:r>
          </m:sub>
        </m:sSub>
      </m:oMath>
      <w:r>
        <w:t xml:space="preserve">, their average cancels</w:t>
      </w:r>
      <w:r>
        <w:t xml:space="preserve"> </w:t>
      </w:r>
      <m:oMath>
        <m:sSub>
          <m:e>
            <m:r>
              <m:t>ζ</m:t>
            </m:r>
          </m:e>
          <m:sub>
            <m:r>
              <m:t>r</m:t>
            </m:r>
          </m:sub>
        </m:sSub>
      </m:oMath>
      <w:r>
        <w:t xml:space="preserve">, and instrument perturbations multiply moments of order</w:t>
      </w:r>
      <w:r>
        <w:t xml:space="preserve"> </w:t>
      </w:r>
      <m:oMath>
        <m:r>
          <m:t>ϵ</m:t>
        </m:r>
      </m:oMath>
      <w:r>
        <w:t xml:space="preserve">. The factor two in each view’s covariance scales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uniformly and cancels from the normalized estimating equation. Combined with Theorem 2, this proves the conditional local product-experiment efficiency statement for fixed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sequential span enrichment. The fixed-noise CLT above and the local information reference describe complementary properties of the same weak scores; joint rates remain open.</w:t>
      </w:r>
    </w:p>
    <w:bookmarkEnd w:id="10"/>
    <w:bookmarkStart w:id="11" w:name="X17780f9b5c8597d60a64ebd7e526d5cc3ddd063"/>
    <w:p>
      <w:pPr>
        <w:pStyle w:val="Heading3"/>
      </w:pPr>
      <w:r>
        <w:t xml:space="preserve">S16.3. Covariance estimation and common-trajectory sufficiency</w:t>
      </w:r>
    </w:p>
    <w:p>
      <w:pPr>
        <w:pStyle w:val="FirstParagraph"/>
      </w:pPr>
      <w:r>
        <w:t xml:space="preserve">For an independently calibrated covariance estimate</w:t>
      </w:r>
      <w:r>
        <w:t xml:space="preserve"> </w:t>
      </w:r>
      <m:oMath>
        <m:acc>
          <m:accPr>
            <m:chr m:val="̂"/>
          </m:accPr>
          <m:e>
            <m:r>
              <m:t>ν</m:t>
            </m:r>
          </m:e>
        </m:acc>
      </m:oMath>
      <w:r>
        <w:t xml:space="preserve">, asymptotic linearity of the averaged score adds</w:t>
      </w:r>
      <w:r>
        <w:t xml:space="preserve"> </w:t>
      </w:r>
      <m:oMath>
        <m:r>
          <m:t>H</m:t>
        </m:r>
        <m:r>
          <m:t>ξ</m:t>
        </m:r>
      </m:oMath>
      <w:r>
        <w:t xml:space="preserve"> </w:t>
      </w:r>
      <w:r>
        <w:t xml:space="preserve">to its influence, where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E</m:t>
        </m:r>
        <m:sSub>
          <m:e>
            <m:r>
              <m:rPr>
                <m:sty m:val="p"/>
              </m:rPr>
              <m:t>∂</m:t>
            </m:r>
          </m:e>
          <m:sub>
            <m:r>
              <m:t>ν</m:t>
            </m:r>
          </m:sub>
        </m:sSub>
        <m:r>
          <m:t>ψ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is the calibration influence with the appropriate relative sample-size scaling. The Newey–McFadden nuisance argument then gives its sandwich</w:t>
      </w:r>
      <w:r>
        <w:t xml:space="preserve"> </w:t>
      </w:r>
      <w:r>
        <w:t xml:space="preserve">[2]</w:t>
      </w:r>
      <w:r>
        <w:t xml:space="preserve">. For estimated-covariance Gaussian fission, calibration error also perturbs cross-view independence; its contribution must be included or be negligible at the inference scale. The known-covariance construction proves the stated result without presuming those extra conditions.</w:t>
      </w:r>
    </w:p>
    <w:p>
      <w:pPr>
        <w:pStyle w:val="BodyText"/>
      </w:pPr>
      <w:r>
        <w:t xml:space="preserve">Uncorrected residual-profile estimates from separate fixed-horizon trajectory fits need not be consistent as records accumulate: each fit estimates a new initial state with nonvanishing error. Even in a linear Gaussian model, fitting a mean projects part of the error out of the residual and changes its expected quadratic form. A residual estimator therefore requires a demonstrated bias correction or a separate consistent calibration scheme. Pair differences eliminate the mean only for equal trajectories. These facts prevent transferring the common-trajectory pair estimator to heterogeneous initial states.</w:t>
      </w:r>
    </w:p>
    <w:p>
      <w:pPr>
        <w:pStyle w:val="BodyText"/>
      </w:pPr>
      <w:r>
        <w:t xml:space="preserve">If all records instead share one initial state and known covariance, the Gaussian path average is sufficient for the mean parameter: the sample contrasts are parameter-free independent Gaussian observations. Applying a single-record procedure to the path average reduces covariance to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. For a nonlinear polynomial, a Hermite covariance term of order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then scales as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q</m:t>
            </m:r>
          </m:sup>
        </m:sSup>
      </m:oMath>
      <w:r>
        <w:t xml:space="preserve">, whereas averaging separate corrected moments retains its fixed-amplitude contribution divided by</w:t>
      </w:r>
      <w:r>
        <w:t xml:space="preserve"> </w:t>
      </w:r>
      <m:oMath>
        <m:r>
          <m:t>n</m:t>
        </m:r>
      </m:oMath>
      <w:r>
        <w:t xml:space="preserve">. Path averaging is the natural reference in this common-trajectory experiment. The old fixed-family GMM calculation is retained as Lemma 2 and a calibration diagnostic, rather than as an efficiency contribution.</w:t>
      </w:r>
    </w:p>
    <w:bookmarkEnd w:id="11"/>
    <w:bookmarkEnd w:id="12"/>
    <w:bookmarkStart w:id="20" w:name="references"/>
    <w:p>
      <w:pPr>
        <w:pStyle w:val="Heading2"/>
      </w:pPr>
      <w:r>
        <w:t xml:space="preserve">References</w:t>
      </w:r>
    </w:p>
    <w:bookmarkStart w:id="19" w:name="refs"/>
    <w:bookmarkStart w:id="14" w:name="ref-hansen198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Hansen LP. Large sample properties of generalized method of moments estimators.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50 (1982) 1029–1054.</w:t>
      </w:r>
      <w:r>
        <w:t xml:space="preserve"> </w:t>
      </w:r>
      <w:hyperlink r:id="rId13">
        <w:r>
          <w:rPr>
            <w:rStyle w:val="Hyperlink"/>
          </w:rPr>
          <w:t xml:space="preserve">https://doi.org/10.2307/1912775</w:t>
        </w:r>
      </w:hyperlink>
      <w:r>
        <w:t xml:space="preserve">.</w:t>
      </w:r>
    </w:p>
    <w:bookmarkEnd w:id="14"/>
    <w:bookmarkStart w:id="16" w:name="ref-newey1994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Newey WK, McFadden D. Large sample estimation and hypothesis testing.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 </w:t>
      </w:r>
      <w:r>
        <w:t xml:space="preserve">Elsevier 4 (1994) 2111–2245.</w:t>
      </w:r>
      <w:r>
        <w:t xml:space="preserve"> </w:t>
      </w:r>
      <w:hyperlink r:id="rId15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16"/>
    <w:bookmarkStart w:id="18" w:name="ref-leiner202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Leiner J, Duan B, Wasserman L, Ramdas A. Data fission: Splitting a single data point.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120 (2025) 135–146.</w:t>
      </w:r>
      <w:r>
        <w:t xml:space="preserve"> </w:t>
      </w:r>
      <w:hyperlink r:id="rId17">
        <w:r>
          <w:rPr>
            <w:rStyle w:val="Hyperlink"/>
          </w:rPr>
          <w:t xml:space="preserve">https://doi.org/10.1080/01621459.2023.2270748</w:t>
        </w:r>
      </w:hyperlink>
      <w:r>
        <w:t xml:space="preserve">.</w:t>
      </w:r>
    </w:p>
    <w:bookmarkEnd w:id="18"/>
    <w:bookmarkEnd w:id="19"/>
    <w:bookmarkEnd w:id="20"/>
    <w:sectPr>
      <w:footnotePr>
        <w:numRestart w:val="eachSect"/>
      </w:footnotePr>
      <w:pgSz w:w="11906" w:h="16838"/>
      <w:pgMar w:left="1304" w:right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doi.org/10.1016/S1573-4412(05)80005-4" TargetMode="External"/><Relationship Id="rId17" Type="http://schemas.openxmlformats.org/officeDocument/2006/relationships/hyperlink" Target="https://doi.org/10.1080/01621459.2023.2270748" TargetMode="External"/><Relationship Id="rId13" Type="http://schemas.openxmlformats.org/officeDocument/2006/relationships/hyperlink" Target="https://doi.org/10.2307/1912775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i.org/10.1016/S1573-4412(05)80005-4" TargetMode="External"/><Relationship Id="rId17" Type="http://schemas.openxmlformats.org/officeDocument/2006/relationships/hyperlink" Target="https://doi.org/10.1080/01621459.2023.2270748" TargetMode="External"/><Relationship Id="rId13" Type="http://schemas.openxmlformats.org/officeDocument/2006/relationships/hyperlink" Target="https://doi.org/10.2307/19127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Heterogeneous initial states: weak instruments and independent-record inference</dc:title>
  <dc:creator/>
  <dc:language>en-US</dc:language>
  <cp:keywords/>
  <dcterms:created xsi:type="dcterms:W3CDTF">2026-10-12T08:31:35Z</dcterms:created>
  <dcterms:modified xsi:type="dcterms:W3CDTF">2026-10-12T08:31:35Z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D:\new_state\research_sampling_wsindy\manuscript\publication_references.bib</vt:lpwstr>
  </property>
  <property fmtid="{D5CDD505-2E9C-101B-9397-08002B2CF9AE}" pid="3" name="csl">
    <vt:lpwstr>D:\new_state\research_sampling_wsindy\manuscript\numeric.csl</vt:lpwstr>
  </property>
</Properties>
</file>