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212ce77727d8adf63831c8bdac954c3db32cff"/>
    <w:p>
      <w:pPr>
        <w:pStyle w:val="Heading1"/>
      </w:pPr>
      <w:r>
        <w:t xml:space="preserve">Финальная проверка слабых оценок и информационных границ</w:t>
      </w:r>
    </w:p>
    <w:p>
      <w:pPr>
        <w:pStyle w:val="FirstParagraph"/>
      </w:pPr>
      <w:r>
        <w:t xml:space="preserve">Основные дополнения: точное описание adjoint-класса и сплайновая лемма плотности; количественная граница после исключения начального состояния; явная OU-функция; современная и классическая литература с отделением известных качественных наблюдений от нового результата. Потеря информации — проекционный член, оставшаяся информация — дополнение Шура.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Van der Pol, 0,5% шума, 2000 общих путей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Смещение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Разброс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step, known initial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step, unknown initial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steps, unknown initial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GLS, 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GLS, 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0.001756</w:t>
            </w:r>
          </w:p>
        </w:tc>
      </w:tr>
    </w:tbl>
    <w:p>
      <w:pPr>
        <w:pStyle w:val="BodyText"/>
      </w:pPr>
      <w:r>
        <w:t xml:space="preserve">Парная разность RMSE iid−OU: 0.00007426, 95% интервал [0.00005576, 0.00009327]. Набор окон даёт основной выигрыш; правильная временная ковариация добавляет около 4,2%. Исходные 128 путей входят в 2000 один раз.</w:t>
      </w:r>
    </w:p>
    <w:p>
      <w:pPr>
        <w:pStyle w:val="BodyText"/>
      </w:pPr>
      <w:r>
        <w:t xml:space="preserve">Одношаговая оценка с неизвестным начальным состоянием сохраняется в отчёте: её конечное смещение не скрыто. Дополнительные шаги, если завершены, указаны отдельно как последующая проверка на тех же данных. Никакой результат не подменён ожиданием теории.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Van der Pol, 5%, 128 общих путей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Смещение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Разброс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Авторский WENDy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 GLS480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GLS480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0.024063</w:t>
            </w:r>
          </w:p>
        </w:tc>
      </w:tr>
    </w:tbl>
    <w:p>
      <w:pPr>
        <w:pStyle w:val="BodyText"/>
      </w:pPr>
      <w:r>
        <w:t xml:space="preserve">Старая серия 16 путей с h=0,01 имеет другой протокол и не используется для прямого ранжирования с этой серией. Малошумовая эффективность не гарантирует превосходства при 5% шума.</w:t>
      </w:r>
    </w:p>
    <w:p>
      <w:pPr>
        <w:pStyle w:val="BodyText"/>
      </w:pPr>
      <w:r>
        <w:t xml:space="preserve">Лоренц: 256 путей, RMSE 0.00040930, локальный ориентир 0.00041137, интервал [0.000382, 0.000437]. Все оценки сходятся. Независимая проверка точной ковариации и отбеливания OU выполнена на Kaggle.</w:t>
      </w:r>
    </w:p>
    <w:p>
      <w:pPr>
        <w:pStyle w:val="BodyText"/>
      </w:pPr>
      <w:r>
        <w:t xml:space="preserve">Проверка шумовой модели: tau/2, 2tau и подстановка оценённых tau и координатных дисперсий. Все 768 оценок включены. При малом шуме подстановка сохраняет точность, но не доказывает отдельную infill-состоятельность tau и дисперсии на фиксированном интервале; микроэргодическая комбинация — дисперсия/tau.</w:t>
      </w:r>
    </w:p>
    <w:p>
      <w:pPr>
        <w:pStyle w:val="BodyText"/>
      </w:pPr>
      <w:r>
        <w:t xml:space="preserve">В основной статье четыре рисунка, в том числе явная функция со скачками и парное сравнение likelihood/weak. Раздел локальной неопределённости, acquisition и прежние поддерживающие эксперименты сохранены в приложении. Авторы и аффилиации не выдуманы; подача в журнал не выполнена.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2026-10-12T08:31:02Z</dcterms:created>
  <dcterms:modified xsi:type="dcterms:W3CDTF">2026-10-12T08:31:02Z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