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Local curvature of the nuisance-profile score</w:t>
      </w:r>
    </w:p>
    <w:bookmarkStart w:id="9" w:name="X8ab12a35a2247b555f74229f5e9b6802148bf79"/>
    <w:p>
      <w:pPr>
        <w:pStyle w:val="Heading2"/>
      </w:pPr>
      <w:r>
        <w:t xml:space="preserve">Incidental initial states: a local bias calculation</w:t>
      </w:r>
    </w:p>
    <w:p>
      <w:pPr>
        <w:pStyle w:val="FirstParagraph"/>
      </w:pPr>
      <w:r>
        <w:t xml:space="preserve">Increasing the number of record-specific initial states raises an incidental-parameter issue</w:t>
      </w:r>
      <w:r>
        <w:t xml:space="preserve"> </w:t>
      </w:r>
      <w:r>
        <w:t xml:space="preserve">[1, 2]</w:t>
      </w:r>
      <w:r>
        <w:t xml:space="preserve">. Its presence alone does not establish a nonzero bias for a particular Gaussian mean model. Bias reduction for nonlinear panels has an extensive literature</w:t>
      </w:r>
      <w:r>
        <w:t xml:space="preserve"> </w:t>
      </w:r>
      <w:r>
        <w:t xml:space="preserve">[3, 4]</w:t>
      </w:r>
      <w:r>
        <w:t xml:space="preserve">; the calculation below concerns a fixed-grid Gaussian ODE mean with known covariance, and uses a small-noise expansion rather than a large within-record sample limit.</w:t>
      </w:r>
    </w:p>
    <w:p>
      <w:pPr>
        <w:pStyle w:val="BodyText"/>
      </w:pPr>
      <w:r>
        <w:t xml:space="preserve">For one record whiten the observations by the known base covariance: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ϵ</m:t>
        </m:r>
        <m:r>
          <m:t>z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. At the true parameters write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∂</m:t>
            </m:r>
          </m:e>
          <m:sub>
            <m:r>
              <m:t>θ</m:t>
            </m:r>
          </m:sub>
        </m:sSub>
        <m:r>
          <m:t>μ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∂</m:t>
            </m:r>
          </m:e>
          <m:sub>
            <m:r>
              <m:t>u</m:t>
            </m:r>
          </m:sub>
        </m:sSub>
        <m:r>
          <m:t>μ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rPr>
                <m:sty m:val="p"/>
              </m:rPr>
              <m:t>⊤</m:t>
            </m:r>
          </m:sup>
        </m:sSup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r>
          <m:t>Z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Z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Assume the mean map is three times continuously differentiable,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nonsingular, and the interior local nuisance minimizer admits a second-order expansion with integrable, uniform remainders over the allowed initial states. Define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sSub>
            <m:e>
              <m:r>
                <m:rPr>
                  <m:sty m:val="p"/>
                </m:rPr>
                <m:t>∂</m:t>
              </m:r>
            </m:e>
            <m: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t>μ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Local profile-score expansion.</w:t>
      </w:r>
      <w:r>
        <w:t xml:space="preserve"> </w:t>
      </w:r>
      <w:r>
        <w:t xml:space="preserve">For the unscaled least-squares profile equation</w:t>
      </w:r>
      <w:r>
        <w:t xml:space="preserve"> </w:t>
      </w:r>
      <m:oMath>
        <m:r>
          <m:t>ψ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∂</m:t>
            </m:r>
          </m:e>
          <m:sub>
            <m:r>
              <m:t>θ</m:t>
            </m:r>
          </m:sub>
        </m:sSub>
        <m:r>
          <m:t>μ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{</m:t>
        </m:r>
        <m:r>
          <m:t>y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ψ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ϵ</m:t>
              </m:r>
            </m:e>
            <m:sup>
              <m:r>
                <m:t>2</m:t>
              </m:r>
            </m:sup>
          </m:sSup>
          <m:sSup>
            <m:e>
              <m:r>
                <m:t>S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P</m:t>
          </m:r>
          <m:r>
            <m:t>h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log-likelihood score divides this expression by</w:t>
      </w:r>
      <w:r>
        <w:t xml:space="preserve"> </w:t>
      </w:r>
      <m:oMath>
        <m:sSup>
          <m:e>
            <m:r>
              <m:t>ϵ</m:t>
            </m:r>
          </m:e>
          <m:sup>
            <m:r>
              <m:t>2</m:t>
            </m:r>
          </m:sup>
        </m:sSup>
      </m:oMath>
      <w:r>
        <w:t xml:space="preserve">; the order statement above concerns the unscaled equation. Suppose the average local information</w:t>
      </w:r>
      <w:r>
        <w:t xml:space="preserve"> </w:t>
      </w:r>
      <m:oMath>
        <m:sSub>
          <m:e>
            <m:bar>
              <m:barPr>
                <m:pos m:val="top"/>
              </m:barPr>
              <m:e>
                <m:r>
                  <m:t>I</m:t>
                </m:r>
              </m:e>
            </m:bar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</m:sub>
        </m:sSub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sSubSup>
              <m:e>
                <m:r>
                  <m:t>S</m:t>
                </m:r>
              </m:e>
              <m:sub>
                <m:r>
                  <m:t>r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</m:e>
        </m:nary>
        <m:sSub>
          <m:e>
            <m:r>
              <m:t>P</m:t>
            </m:r>
          </m:e>
          <m:sub>
            <m:r>
              <m:t>r</m:t>
            </m:r>
          </m:sub>
        </m:sSub>
        <m:sSub>
          <m:e>
            <m:r>
              <m:t>S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is positive definite, the population profile equation has a locally unique root, and its uniform expansion is valid. That root has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θ</m:t>
              </m:r>
            </m:e>
            <m:sub>
              <m:r>
                <m:t>ϵ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ϵ</m:t>
              </m:r>
            </m:e>
            <m:sup>
              <m:r>
                <m:t>2</m:t>
              </m:r>
            </m:sup>
          </m:sSup>
          <m:sSubSup>
            <m:e>
              <m:bar>
                <m:barPr>
                  <m:pos m:val="top"/>
                </m:barPr>
                <m:e>
                  <m:r>
                    <m:t>I</m:t>
                  </m:r>
                </m:e>
              </m:bar>
            </m:e>
            <m:sub>
              <m:r>
                <m:t>e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</m:lim>
          </m:limLow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sSubSup>
                <m:e>
                  <m:r>
                    <m:t>S</m:t>
                  </m:r>
                </m:e>
                <m:sub>
                  <m:r>
                    <m:t>r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</m:e>
          </m:nary>
          <m:sSub>
            <m:e>
              <m:r>
                <m:t>P</m:t>
              </m:r>
            </m:e>
            <m:sub>
              <m:r>
                <m:t>r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Proof.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u</m:t>
        </m:r>
        <m:r>
          <m:rPr>
            <m:sty m:val="p"/>
          </m:rPr>
          <m:t>+</m:t>
        </m:r>
        <m:r>
          <m:t>ϵ</m:t>
        </m:r>
        <m:r>
          <m:t>a</m:t>
        </m:r>
        <m:r>
          <m:rPr>
            <m:sty m:val="p"/>
          </m:rPr>
          <m:t>+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sub>
        </m:sSub>
        <m:r>
          <m:rPr>
            <m:sty m:val="p"/>
          </m:rPr>
          <m:t>(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The nuisance normal equation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Z</m:t>
            </m:r>
          </m:e>
          <m:sup>
            <m:r>
              <m:rPr>
                <m:sty m:val="p"/>
              </m:rPr>
              <m:t>⊤</m:t>
            </m:r>
          </m:sup>
        </m:sSup>
        <m:r>
          <m:t>z</m:t>
        </m:r>
      </m:oMath>
      <w:r>
        <w:t xml:space="preserve">. The whitened residual is</w:t>
      </w:r>
      <w:r>
        <w:t xml:space="preserve"> </w:t>
      </w:r>
      <m:oMath>
        <m:r>
          <m:t>ϵ</m:t>
        </m:r>
        <m:r>
          <m:t>P</m:t>
        </m:r>
        <m:r>
          <m:t>z</m:t>
        </m:r>
        <m:r>
          <m:rPr>
            <m:sty m:val="p"/>
          </m:rPr>
          <m:t>−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{</m:t>
        </m:r>
        <m:r>
          <m:t>Z</m:t>
        </m:r>
        <m:r>
          <m:t>b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μ</m:t>
            </m:r>
          </m:e>
          <m:sub>
            <m:r>
              <m:t>u</m:t>
            </m:r>
            <m:r>
              <m:t>u</m:t>
            </m:r>
          </m:sub>
        </m:sSub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sSup>
              <m:e>
                <m:r>
                  <m:t>L</m:t>
                </m:r>
              </m:e>
              <m:sup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Gaussian orthogonality makes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r>
          <m:t>P</m:t>
        </m:r>
        <m:r>
          <m:t>z</m:t>
        </m:r>
      </m:oMath>
      <w:r>
        <w:t xml:space="preserve">, 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a</m:t>
        </m:r>
        <m:sSup>
          <m:e>
            <m: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Expanding the nuisance normal equation to second order gives</w:t>
      </w:r>
      <w:r>
        <w:t xml:space="preserve"> </w:t>
      </w:r>
      <m:oMath>
        <m:r>
          <m:t>E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Z</m:t>
            </m:r>
          </m:e>
          <m:sup>
            <m:r>
              <m:rPr>
                <m:sty m:val="p"/>
              </m:rPr>
              <m:t>⊤</m:t>
            </m:r>
          </m:sup>
        </m:sSup>
        <m:r>
          <m:t>h</m:t>
        </m:r>
      </m:oMath>
      <w:r>
        <w:t xml:space="preserve">. The mixed coefficient-sensitivity term</w:t>
      </w:r>
      <w:r>
        <w:t xml:space="preserve"> </w:t>
      </w:r>
      <m:oMath>
        <m:r>
          <m:t>E</m:t>
        </m:r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θ</m:t>
            </m:r>
            <m:r>
              <m:t>u</m:t>
            </m:r>
          </m:sub>
        </m:sSub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P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zero. Substitution into the coefficient equation therefore gives its stated mean. Its population derivative at zero noise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t>P</m:t>
        </m:r>
        <m:r>
          <m:t>S</m:t>
        </m:r>
      </m:oMath>
      <w:r>
        <w:t xml:space="preserve">, by differentiating the nuisance normal equation. The local implicit-function expansion after averaging records gives the displayed root displacement.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A nonzero curvature coefficient predicts a fixed-noise displacement that remains when the number of records increases. A consistency claim for the computed local profile estimator additionally requires a uniform law of large numbers and identification of this population root. Other nuisance branches, boundary optima and rare large-noise fits fall outside this local expansion. Linear mean models can have zero curvature term. The experiment tests the size and direction of the displacement rather than assuming a likelihood failure.</w:t>
      </w:r>
    </w:p>
    <w:p>
      <w:pPr>
        <w:pStyle w:val="BodyText"/>
      </w:pPr>
      <w:r>
        <w:t xml:space="preserve">For the prescribed Van der Pol initial-state distribution, the deterministic Kaggle calculation gives the coefficient of</w:t>
      </w:r>
      <w:r>
        <w:t xml:space="preserve"> </w:t>
      </w:r>
      <m:oMath>
        <m:sSup>
          <m:e>
            <m:r>
              <m:t>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approximately</w:t>
      </w:r>
      <w:r>
        <w:t xml:space="preserve"> </w:t>
      </w:r>
      <m:oMath>
        <m:r>
          <m:rPr>
            <m:sty m:val="p"/>
          </m:rPr>
          <m:t>(</m:t>
        </m:r>
        <m:r>
          <m:t>0.0024214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0.0037071</m:t>
        </m:r>
        <m:r>
          <m:rPr>
            <m:sty m:val="p"/>
          </m:rPr>
          <m:t>,</m:t>
        </m:r>
        <m:r>
          <m:t>0.0349238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0.0152314</m:t>
        </m:r>
        <m:r>
          <m:rPr>
            <m:sty m:val="p"/>
          </m:rPr>
          <m:t>)</m:t>
        </m:r>
      </m:oMath>
      <w:r>
        <w:t xml:space="preserve">. Eight- and twelve-node Gauss–Legendre rules per initial-state coordinate agree to relative</w:t>
      </w:r>
      <w:r>
        <w:t xml:space="preserve"> </w:t>
      </w:r>
      <m:oMath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; finite-difference checks of diagonal second initial sensitivities have relative errors below</w:t>
      </w:r>
      <w:r>
        <w:t xml:space="preserve"> </w:t>
      </w:r>
      <m:oMath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.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800</m:t>
        </m:r>
      </m:oMath>
      <w:r>
        <w:t xml:space="preserve">, the predicted relative bias divided by the nuisance-adjusted norm standard error is 0.0803, 0.1605 and 0.3210 at 5%, 10% and 20% noise. These are local predictions, separate from the Monte Carlo pilot and the main comparison.</w:t>
      </w:r>
    </w:p>
    <w:bookmarkEnd w:id="9"/>
    <w:bookmarkStart w:id="19" w:name="references"/>
    <w:p>
      <w:pPr>
        <w:pStyle w:val="Heading2"/>
      </w:pPr>
      <w:r>
        <w:t xml:space="preserve">References</w:t>
      </w:r>
    </w:p>
    <w:bookmarkStart w:id="18" w:name="refs"/>
    <w:bookmarkStart w:id="11" w:name="ref-neyman1948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Neyman J, Scott EL. Consistent estimates based on partially consistent observations.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16 (1948) 1–32.</w:t>
      </w:r>
      <w:r>
        <w:t xml:space="preserve"> </w:t>
      </w:r>
      <w:hyperlink r:id="rId10">
        <w:r>
          <w:rPr>
            <w:rStyle w:val="Hyperlink"/>
          </w:rPr>
          <w:t xml:space="preserve">https://doi.org/10.2307/1914288</w:t>
        </w:r>
      </w:hyperlink>
      <w:r>
        <w:t xml:space="preserve">.</w:t>
      </w:r>
    </w:p>
    <w:bookmarkEnd w:id="11"/>
    <w:bookmarkStart w:id="13" w:name="ref-lancaster200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Lancaster T. The incidental parameter problem since 1948.</w:t>
      </w:r>
      <w:r>
        <w:t xml:space="preserve"> </w:t>
      </w:r>
      <w:r>
        <w:rPr>
          <w:i/>
          <w:iCs/>
        </w:rPr>
        <w:t xml:space="preserve">Journal of Econometrics</w:t>
      </w:r>
      <w:r>
        <w:t xml:space="preserve"> </w:t>
      </w:r>
      <w:r>
        <w:t xml:space="preserve">95 (2000) 391–413.</w:t>
      </w:r>
      <w:r>
        <w:t xml:space="preserve"> </w:t>
      </w:r>
      <w:hyperlink r:id="rId12">
        <w:r>
          <w:rPr>
            <w:rStyle w:val="Hyperlink"/>
          </w:rPr>
          <w:t xml:space="preserve">https://doi.org/10.1016/S0304-4076(99)00044-5</w:t>
        </w:r>
      </w:hyperlink>
      <w:r>
        <w:t xml:space="preserve">.</w:t>
      </w:r>
    </w:p>
    <w:bookmarkEnd w:id="13"/>
    <w:bookmarkStart w:id="15" w:name="ref-hahn2004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Hahn J, Newey WK. Jackknife and analytical bias reduction for nonlinear panel models.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72 (2004) 1295–1319.</w:t>
      </w:r>
      <w:r>
        <w:t xml:space="preserve"> </w:t>
      </w:r>
      <w:hyperlink r:id="rId14">
        <w:r>
          <w:rPr>
            <w:rStyle w:val="Hyperlink"/>
          </w:rPr>
          <w:t xml:space="preserve">https://doi.org/10.1111/j.1468-0262.2004.00533.x</w:t>
        </w:r>
      </w:hyperlink>
      <w:r>
        <w:t xml:space="preserve">.</w:t>
      </w:r>
    </w:p>
    <w:bookmarkEnd w:id="15"/>
    <w:bookmarkStart w:id="17" w:name="ref-arellano200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Arellano M, Hahn J. Understanding bias in nonlinear panel models: Some recent developments.</w:t>
      </w:r>
      <w:r>
        <w:t xml:space="preserve"> </w:t>
      </w:r>
      <w:r>
        <w:rPr>
          <w:i/>
          <w:iCs/>
        </w:rPr>
        <w:t xml:space="preserve">Advances in economics and econometrics: Theory and applications, ninth world congress</w:t>
      </w:r>
      <w:r>
        <w:t xml:space="preserve"> </w:t>
      </w:r>
      <w:r>
        <w:t xml:space="preserve">Cambridge University Press 3 (2007) 381–409.</w:t>
      </w:r>
      <w:r>
        <w:t xml:space="preserve"> </w:t>
      </w:r>
      <w:hyperlink r:id="rId16">
        <w:r>
          <w:rPr>
            <w:rStyle w:val="Hyperlink"/>
          </w:rPr>
          <w:t xml:space="preserve">https://doi.org/10.1017/CBO9780511607547.013</w:t>
        </w:r>
      </w:hyperlink>
      <w:r>
        <w:t xml:space="preserve">.</w:t>
      </w:r>
    </w:p>
    <w:bookmarkEnd w:id="17"/>
    <w:bookmarkEnd w:id="18"/>
    <w:bookmarkEnd w:id="19"/>
    <w:sectPr>
      <w:footnotePr>
        <w:numRestart w:val="eachSect"/>
      </w:footnotePr>
      <w:pgSz w:w="11906" w:h="16838"/>
      <w:pgMar w:left="1304" w:right="13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doi.org/10.1016/S0304-4076(99)00044-5" TargetMode="External"/><Relationship Id="rId16" Type="http://schemas.openxmlformats.org/officeDocument/2006/relationships/hyperlink" Target="https://doi.org/10.1017/CBO9780511607547.013" TargetMode="External"/><Relationship Id="rId14" Type="http://schemas.openxmlformats.org/officeDocument/2006/relationships/hyperlink" Target="https://doi.org/10.1111/j.1468-0262.2004.00533.x" TargetMode="External"/><Relationship Id="rId10" Type="http://schemas.openxmlformats.org/officeDocument/2006/relationships/hyperlink" Target="https://doi.org/10.2307/1914288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doi.org/10.1016/S0304-4076(99)00044-5" TargetMode="External"/><Relationship Id="rId16" Type="http://schemas.openxmlformats.org/officeDocument/2006/relationships/hyperlink" Target="https://doi.org/10.1017/CBO9780511607547.013" TargetMode="External"/><Relationship Id="rId14" Type="http://schemas.openxmlformats.org/officeDocument/2006/relationships/hyperlink" Target="https://doi.org/10.1111/j.1468-0262.2004.00533.x" TargetMode="External"/><Relationship Id="rId10" Type="http://schemas.openxmlformats.org/officeDocument/2006/relationships/hyperlink" Target="https://doi.org/10.2307/19142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curvature of the nuisance-profile score</dc:title>
  <dc:creator/>
  <dc:language>en-US</dc:language>
  <cp:keywords/>
  <dcterms:created xsi:type="dcterms:W3CDTF">2026-10-12T13:41:25Z</dcterms:created>
  <dcterms:modified xsi:type="dcterms:W3CDTF">2026-10-12T13:41:25Z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D:\new_state\research_sampling_wsindy\manuscript\publication_references.bib</vt:lpwstr>
  </property>
  <property fmtid="{D5CDD505-2E9C-101B-9397-08002B2CF9AE}" pid="3" name="csl">
    <vt:lpwstr>D:\new_state\research_sampling_wsindy\manuscript\numeric.csl</vt:lpwstr>
  </property>
</Properties>
</file>