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Boundary-free weak influences: range closure, sharp information and feasible GLS</w:t>
      </w:r>
    </w:p>
    <w:bookmarkStart w:id="9" w:name="spaces-and-adjoint-range"/>
    <w:p>
      <w:pPr>
        <w:pStyle w:val="Heading2"/>
      </w:pPr>
      <w:r>
        <w:t xml:space="preserve">1. Spaces and adjoint range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;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  <m:r>
          <m:rPr>
            <m:sty m:val="p"/>
          </m:rPr>
          <m:t>)</m:t>
        </m:r>
      </m:oMath>
      <w:r>
        <w:t xml:space="preserve">, and let the invertible fundamental matrix satisfy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t>Z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. Put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J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t>J</m:t>
            </m:r>
          </m:e>
          <m:sup>
            <m:r>
              <m:t>T</m:t>
            </m:r>
          </m:sup>
        </m:sSup>
        <m:r>
          <m:t>ϕ</m:t>
        </m:r>
      </m:oMath>
      <w:r>
        <w:t xml:space="preserve">. Sensor coordinates have independent stationary OU covariance with fixed positive scales. Its Cameron–Martin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with the OU inner product. Write</w:t>
      </w:r>
      <w:r>
        <w:t xml:space="preserve"> 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its continuous dual, equipped with the covariance norm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λ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r>
            <m:t>C</m:t>
          </m:r>
          <m:r>
            <m:t>λ</m:t>
          </m:r>
          <m:r>
            <m:rPr>
              <m:sty m:val="p"/>
            </m:rPr>
            <m:t>⟩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g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g</m:t>
          </m:r>
          <m:r>
            <m:rPr>
              <m:sty m:val="p"/>
            </m:rPr>
            <m:t>,</m:t>
          </m:r>
          <m:r>
            <m:t>h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definition includes ordinary integrated influences and endpoint evaluation measures. General dual influences act through the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closure of integrated Gaussian observations, rather than a pathwise pairing for every distribution. Their variance norm is</w:t>
      </w:r>
      <w:r>
        <w:t xml:space="preserve"> </w:t>
      </w:r>
      <m:oMath>
        <m:r>
          <m:rPr>
            <m:sty m:val="p"/>
          </m:rPr>
          <m:t>∥</m:t>
        </m:r>
        <m:r>
          <m:t>λ</m:t>
        </m:r>
        <m:sSub>
          <m:e>
            <m:r>
              <m:rPr>
                <m:sty m:val="p"/>
              </m:rPr>
              <m:t>∥</m:t>
            </m:r>
          </m:e>
          <m:sub>
            <m:r>
              <m:t>C</m:t>
            </m:r>
          </m:sub>
        </m:sSub>
      </m:oMath>
      <w:r>
        <w:t xml:space="preserve">; the noise path itself need not belong to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Proposition 2 (exact range and closure).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D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bSup>
            <m:e>
              <m:r>
                <m:t>H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ℓ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: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Z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t>ℓ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range of compactly supported smooth tests is dense in this space in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. Its closure in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t xml:space="preserve">is exactly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M</m:t>
          </m:r>
          <m:r>
            <m:rPr>
              <m:sty m:val="p"/>
            </m:rPr>
            <m:t>=</m:t>
          </m:r>
          <m:sSup>
            <m:e>
              <m:bar>
                <m:barPr>
                  <m:pos m:val="top"/>
                </m:barPr>
                <m:e>
                  <m:sSup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sSubSup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e>
              </m:bar>
            </m:e>
            <m:sup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C</m:t>
                  </m:r>
                </m:sub>
              </m:sSub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λ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:</m:t>
          </m:r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Consequently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 </w:t>
      </w:r>
      <w:r>
        <w:t xml:space="preserve">has codimension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Z</m:t>
            </m:r>
          </m:e>
          <m:sup>
            <m:r>
              <m:t>T</m:t>
            </m:r>
          </m:sup>
        </m:sSup>
        <m:sSup>
          <m:e>
            <m:r>
              <m:rPr>
                <m:scr m:val="script"/>
                <m:sty m:val="p"/>
              </m:rP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T</m:t>
            </m:r>
          </m:sup>
        </m:sSup>
        <m:r>
          <m:t>ϕ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zero endpoint values imply the moment constraint. Conversely, for an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influence with zero moment,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Z</m:t>
              </m:r>
            </m:e>
          </m:nary>
          <m:r>
            <m:rPr>
              <m:sty m:val="p"/>
            </m:rPr>
            <m:t>(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t>ℓ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belongs to</w:t>
      </w:r>
      <w:r>
        <w:t xml:space="preserve"> </w:t>
      </w:r>
      <m:oMath>
        <m:sSubSup>
          <m:e>
            <m:r>
              <m:t>H</m:t>
            </m:r>
          </m:e>
          <m:sub>
            <m:r>
              <m:t>0</m:t>
            </m:r>
          </m:sub>
          <m:sup>
            <m:r>
              <m:t>1</m:t>
            </m:r>
          </m:sup>
        </m:sSubSup>
      </m:oMath>
      <w:r>
        <w:t xml:space="preserve"> </w:t>
      </w:r>
      <w:r>
        <w:t xml:space="preserve">and satisfies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t>ϕ</m:t>
        </m:r>
        <m:r>
          <m:rPr>
            <m:sty m:val="p"/>
          </m:rPr>
          <m:t>=</m:t>
        </m:r>
        <m:r>
          <m:t>ℓ</m:t>
        </m:r>
      </m:oMath>
      <w:r>
        <w:t xml:space="preserve">. Approximation in</w:t>
      </w:r>
      <w:r>
        <w:t xml:space="preserve"> </w:t>
      </w:r>
      <m:oMath>
        <m:sSubSup>
          <m:e>
            <m:r>
              <m:t>H</m:t>
            </m:r>
          </m:e>
          <m:sub>
            <m:r>
              <m:t>0</m:t>
            </m:r>
          </m:sub>
          <m:sup>
            <m:r>
              <m:t>1</m:t>
            </m:r>
          </m:sup>
        </m:sSubSup>
      </m:oMath>
      <w:r>
        <w:t xml:space="preserve"> </w:t>
      </w:r>
      <w:r>
        <w:t xml:space="preserve">by</w:t>
      </w:r>
      <w:r>
        <w:t xml:space="preserve"> </w:t>
      </w:r>
      <m:oMath>
        <m:sSubSup>
          <m:e>
            <m:r>
              <m:t>C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t xml:space="preserve"> </w:t>
      </w:r>
      <w:r>
        <w:t xml:space="preserve">and continuity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→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density. For the stronger closure statement, a function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annihilates every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t>ϕ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distributionally, hence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Z</m:t>
        </m:r>
        <m:r>
          <m:t>c</m:t>
        </m:r>
      </m:oMath>
      <w:r>
        <w:t xml:space="preserve">. The Hahn–Banach annihilator characterization of a closed subspace then gives the stated closure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The columns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are linearly independent elements 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so their dual constraints have rank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exact range uses zero-endpoint Sobolev tests; literal compact tests require closure. The covariance norm is equivalent to the dual Sobolev norm for this positive OU model.</w:t>
      </w:r>
    </w:p>
    <w:p>
      <w:pPr>
        <w:pStyle w:val="BodyText"/>
      </w:pPr>
      <w:r>
        <w:rPr>
          <w:b/>
          <w:bCs/>
        </w:rPr>
        <w:t xml:space="preserve">Lemma 1 (a concrete dense test family).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vector-valued continuous piecewise-linear splines on the nested uniform dyadic partitions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, with zero values at both endpoints.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bar>
                <m:barPr>
                  <m:pos m:val="top"/>
                </m:bar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m</m:t>
                      </m:r>
                    </m:lim>
                  </m:limLow>
                  <m:sSup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C</m:t>
                  </m:r>
                </m:sub>
              </m:sSub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Proof.</w:t>
      </w:r>
      <w:r>
        <w:t xml:space="preserve"> </w:t>
      </w:r>
      <w:r>
        <w:t xml:space="preserve">Given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1</m:t>
            </m:r>
          </m:sup>
        </m:sSubSup>
      </m:oMath>
      <w:r>
        <w:t xml:space="preserve">, choose</w:t>
      </w:r>
      <w:r>
        <w:t xml:space="preserve"> </w:t>
      </w:r>
      <m:oMath>
        <m:r>
          <m:t>ψ</m:t>
        </m:r>
        <m:r>
          <m:rPr>
            <m:sty m:val="p"/>
          </m:rPr>
          <m:t>∈</m:t>
        </m:r>
        <m:sSubSup>
          <m:e>
            <m:r>
              <m:t>C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t xml:space="preserve"> </w:t>
      </w:r>
      <w:r>
        <w:t xml:space="preserve">close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</m:oMath>
      <w:r>
        <w:t xml:space="preserve">. Its nodal interpolant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</m:sub>
        </m:sSub>
        <m:r>
          <m:t>ψ</m:t>
        </m:r>
        <m:r>
          <m:rPr>
            <m:sty m:val="p"/>
          </m:rPr>
          <m:t>∈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I</m:t>
            </m:r>
          </m:e>
          <m:sub>
            <m:r>
              <m:t>m</m:t>
            </m:r>
          </m:sub>
        </m:sSub>
        <m:r>
          <m:t>ψ</m:t>
        </m:r>
        <m:r>
          <m:rPr>
            <m:sty m:val="p"/>
          </m:rPr>
          <m:t>−</m:t>
        </m:r>
        <m:r>
          <m:t>ψ</m:t>
        </m:r>
        <m:sSub>
          <m:e>
            <m:r>
              <m:rPr>
                <m:sty m:val="p"/>
              </m:rPr>
              <m:t>∥</m:t>
            </m:r>
          </m:e>
          <m:sub>
            <m:sSup>
              <m:e>
                <m:r>
                  <m:t>H</m:t>
                </m:r>
              </m:e>
              <m:sup>
                <m:r>
                  <m:t>1</m:t>
                </m:r>
              </m:sup>
            </m:sSup>
          </m:sub>
        </m:sSub>
        <m:r>
          <m:rPr>
            <m:sty m:val="p"/>
          </m:rPr>
          <m:t>≤</m:t>
        </m:r>
        <m:r>
          <m:t>c</m:t>
        </m:r>
        <m:sSub>
          <m:e>
            <m:r>
              <m:rPr>
                <m:sty m:val="p"/>
              </m:rPr>
              <m:t>Δ</m:t>
            </m:r>
          </m:e>
          <m:sub>
            <m:r>
              <m:t>m</m:t>
            </m:r>
          </m:sub>
        </m:sSub>
        <m:r>
          <m:rPr>
            <m:sty m:val="p"/>
          </m:rPr>
          <m:t>∥</m:t>
        </m:r>
        <m:sSup>
          <m:e>
            <m:r>
              <m:t>ψ</m:t>
            </m:r>
          </m:e>
          <m:sup>
            <m:r>
              <m:rPr>
                <m:sty m:val="p"/>
              </m:rPr>
              <m:t>″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mesh width. The union of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therefore dense in</w:t>
      </w:r>
      <w:r>
        <w:t xml:space="preserve"> </w:t>
      </w:r>
      <m:oMath>
        <m:sSubSup>
          <m:e>
            <m:r>
              <m:t>H</m:t>
            </m:r>
          </m:e>
          <m:sub>
            <m:r>
              <m:t>0</m:t>
            </m:r>
          </m:sub>
          <m:sup>
            <m:r>
              <m:t>1</m:t>
            </m:r>
          </m:sup>
        </m:sSubSup>
      </m:oMath>
      <w:r>
        <w:t xml:space="preserve">. Continuity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→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of the embedding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↪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transfers this approximation to the covariance norm. Proposition 2 identifies the closure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D</m:t>
            </m:r>
          </m:e>
          <m:sup>
            <m:r>
              <m:rPr>
                <m:sty m:val="p"/>
              </m:rPr>
              <m:t>*</m:t>
            </m:r>
          </m:sup>
        </m:sSup>
        <m:sSubSup>
          <m:e>
            <m:r>
              <m:t>H</m:t>
            </m:r>
          </m:e>
          <m:sub>
            <m:r>
              <m:t>0</m:t>
            </m:r>
          </m:sub>
          <m:sup>
            <m:r>
              <m:t>1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These splines are admissible zero-endpoint Sobolev tests; they need not vanish in an endpoint neighborhood. If literal smooth compact tests are required, approximate each spline in</w:t>
      </w:r>
      <w:r>
        <w:t xml:space="preserve"> </w:t>
      </w:r>
      <m:oMath>
        <m:sSubSup>
          <m:e>
            <m:r>
              <m:t>H</m:t>
            </m:r>
          </m:e>
          <m:sub>
            <m:r>
              <m:t>0</m:t>
            </m:r>
          </m:sub>
          <m:sup>
            <m:r>
              <m:t>1</m:t>
            </m:r>
          </m:sup>
        </m:sSubSup>
      </m:oMath>
      <w:r>
        <w:t xml:space="preserve"> </w:t>
      </w:r>
      <w:r>
        <w:t xml:space="preserve">by such tests. Thus Lemma 1 provides an explicit family for the density condition in Corollary 1. It does not assert density of the finite multiscale bump families used in the experiments.</w:t>
      </w:r>
    </w:p>
    <w:bookmarkEnd w:id="9"/>
    <w:bookmarkStart w:id="10" w:name="sharp-covariance-reference"/>
    <w:p>
      <w:pPr>
        <w:pStyle w:val="Heading2"/>
      </w:pPr>
      <w:r>
        <w:t xml:space="preserve">2. Sharp covariance reference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coefficient sensitivities, and form the joint information blocks 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 Assume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and the Schur complement are positive definite. Set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−</m:t>
          </m:r>
          <m:r>
            <m:t>Z</m:t>
          </m:r>
          <m:sSubSup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u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θ</m:t>
              </m:r>
              <m:r>
                <m:t>u</m:t>
              </m:r>
            </m:sub>
          </m:sSub>
          <m:sSubSup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u</m:t>
              </m:r>
              <m:r>
                <m:t>θ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Projection and best linear unbiased estimation in correlated continuous regression are classical</w:t>
      </w:r>
      <w:r>
        <w:t xml:space="preserve"> </w:t>
      </w:r>
      <w:r>
        <w:t xml:space="preserve">[1]</w:t>
      </w:r>
      <w:r>
        <w:t xml:space="preserve">. Here the adjoint-range characterization identifies exactly which dynamical weak influences obey that projection.</w:t>
      </w:r>
    </w:p>
    <w:p>
      <w:pPr>
        <w:pStyle w:val="BodyText"/>
      </w:pPr>
      <w:r>
        <w:rPr>
          <w:b/>
          <w:bCs/>
        </w:rPr>
        <w:t xml:space="preserve">Theorem 2 (sharp boundary-free influence covariance).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λ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s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r</m:t>
            </m:r>
            <m:r>
              <m:t>s</m:t>
            </m:r>
          </m:sub>
        </m:sSub>
      </m:oMath>
      <w:r>
        <w:t xml:space="preserve">. Its Gaussian influence covariance obeys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≽</m:t>
          </m:r>
          <m:sSubSup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bound is attained in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 </w:t>
      </w:r>
      <w:r>
        <w:t xml:space="preserve">by the matrix-valued dual influence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R</m:t>
          </m:r>
          <m:r>
            <m:t> </m:t>
          </m:r>
          <m:sSubSup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infimum for normalized compact-test influences. It is a minimum among literal compact tests only when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belongs to their adjoint range.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projection makes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e</m:t>
            </m:r>
          </m:sub>
        </m:sSub>
      </m:oMath>
      <w:r>
        <w:t xml:space="preserve">. Thus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meets both constraints and has covariance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I</m:t>
            </m:r>
          </m:e>
          <m:sub>
            <m:r>
              <m:t>e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The difference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pairs to zero with both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, hence with</w:t>
      </w:r>
      <w:r>
        <w:t xml:space="preserve"> </w:t>
      </w:r>
      <m:oMath>
        <m:r>
          <m:t>R</m:t>
        </m:r>
      </m:oMath>
      <w:r>
        <w:t xml:space="preserve">. Covariance cross terms vanish and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attainability as an infimum, approximate each column of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compact-test influences in covariance norm. Their normalization matrices converge to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by continuous pairing with</w:t>
      </w:r>
      <w:r>
        <w:t xml:space="preserve"> </w:t>
      </w:r>
      <m:oMath>
        <m:r>
          <m:t>S</m:t>
        </m:r>
      </m:oMath>
      <w:r>
        <w:t xml:space="preserve">; right-multiplication by their inverse transpose enforces exact normalization while preserving the range and covariance convergence.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For an unknown initial state,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the full likelihood nuisance-adjusted information, so this weak restriction has no further first-order cost. When the initial state is known, the information loss is exactly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θ</m:t>
            </m:r>
            <m:r>
              <m:t>u</m:t>
            </m:r>
          </m:sub>
        </m:sSub>
        <m:sSubSup>
          <m:e>
            <m:r>
              <m:rPr>
                <m:scr m:val="script"/>
                <m:sty m:val="p"/>
              </m:rPr>
              <m:t>I</m:t>
            </m:r>
          </m:e>
          <m:sub>
            <m:r>
              <m:t>u</m:t>
            </m:r>
            <m:r>
              <m:t>u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u</m:t>
            </m:r>
            <m:r>
              <m:t>θ</m:t>
            </m:r>
          </m:sub>
        </m:sSub>
      </m:oMath>
      <w:r>
        <w:t xml:space="preserve">; covariance inflation is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I</m:t>
            </m:r>
          </m:e>
          <m:sub>
            <m:r>
              <m:t>e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cr m:val="script"/>
                <m:sty m:val="p"/>
              </m:rPr>
              <m:t>I</m:t>
            </m:r>
          </m:e>
          <m:sub>
            <m:r>
              <m:t>θ</m:t>
            </m:r>
            <m:r>
              <m:t>θ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There is no direction-independent scalar loss percentage in general.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known,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also reveals the initial stationary measurement error, which remains correlated with later observations. The unrestricted score can exploit that observation while the weak influence must retain its initial-sensitivity annihilation constraint.</w:t>
      </w:r>
    </w:p>
    <w:bookmarkEnd w:id="10"/>
    <w:bookmarkStart w:id="11" w:name="explicit-ou-representative"/>
    <w:p>
      <w:pPr>
        <w:pStyle w:val="Heading2"/>
      </w:pPr>
      <w:r>
        <w:t xml:space="preserve">3. Explicit OU representative</w:t>
      </w:r>
    </w:p>
    <w:p>
      <w:pPr>
        <w:pStyle w:val="FirstParagraph"/>
      </w:pPr>
      <w:r>
        <w:t xml:space="preserve">For a scalar coordinate with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, integration by parts in the stationary OU norm gives the dual measure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τ</m:t>
              </m:r>
            </m:den>
          </m:f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τ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τ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independent coordinates the formula applies coordinatewise, using their respective scales. If only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H</m:t>
            </m:r>
          </m:e>
          <m:sup>
            <m:r>
              <m:t>1</m:t>
            </m:r>
          </m:sup>
        </m:sSup>
      </m:oMath>
      <w:r>
        <w:t xml:space="preserve">, the Riesz representative remains well-defined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but need not be a density plus finite endpoint measures.</w:t>
      </w:r>
    </w:p>
    <w:p>
      <w:pPr>
        <w:pStyle w:val="BodyText"/>
      </w:pPr>
      <w:r>
        <w:t xml:space="preserve">For a smooth optimal representative write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  <m:sSub>
          <m:e>
            <m: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T</m:t>
            </m:r>
          </m:sub>
        </m:sSub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. On the open interval an adjoint test matrix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Z</m:t>
              </m:r>
              <m:r>
                <m:rPr>
                  <m:sty m:val="p"/>
                </m:rPr>
                <m:t>(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Z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t>m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Extend it by zero outside the observation interval. Its endpoint jumps supply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)</m:t>
        </m:r>
      </m:oMath>
      <w:r>
        <w:t xml:space="preserve">, and distributionally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D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 These formulas include the initial atom; omitting it in the cumulative integral is incorrect. The annihilation condition supplies the terminal jump. Cutoff and smoothing approximate this generalized test in covariance norm. These measures describe a statistical reference; the implemented estimators keep compact tests and add no explicit boundary observation terms.</w:t>
      </w:r>
    </w:p>
    <w:p>
      <w:pPr>
        <w:pStyle w:val="BodyText"/>
      </w:pPr>
      <w:r>
        <w:t xml:space="preserve">For scalar exponential dynamics,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a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t</m:t>
        </m:r>
        <m:sSup>
          <m:e>
            <m:r>
              <m:t>e</m:t>
            </m:r>
          </m:e>
          <m:sup>
            <m:r>
              <m:t>a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a</m:t>
            </m:r>
            <m:r>
              <m:t>u</m:t>
            </m:r>
          </m:sub>
        </m:sSub>
        <m:r>
          <m:rPr>
            <m:sty m:val="p"/>
          </m:rPr>
          <m:t>/</m:t>
        </m:r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a</m:t>
            </m:r>
            <m:r>
              <m:t>t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τ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τ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t>s</m:t>
                  </m:r>
                </m:e>
                <m:sup>
                  <m:r>
                    <m:t>j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t>2</m:t>
              </m:r>
              <m:r>
                <m:t>a</m:t>
              </m:r>
              <m:r>
                <m:t>s</m:t>
              </m:r>
            </m:sup>
          </m:sSup>
          <m:r>
            <m:t>d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t</m:t>
                  </m:r>
                </m:sup>
              </m:sSup>
            </m:num>
            <m:den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[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expm1</m:t>
        </m:r>
        <m:r>
          <m:rPr>
            <m:sty m:val="p"/>
          </m:rPr>
          <m:t>(</m:t>
        </m:r>
        <m:r>
          <m:t>2</m:t>
        </m:r>
        <m:r>
          <m:t>a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e</m:t>
            </m:r>
          </m:e>
          <m:sup>
            <m:r>
              <m:t>2</m:t>
            </m:r>
            <m:r>
              <m:t>a</m:t>
            </m:r>
            <m:r>
              <m:t>t</m:t>
            </m:r>
          </m:sup>
        </m:sSup>
        <m:r>
          <m:rPr>
            <m:sty m:val="p"/>
          </m:rPr>
          <m:t>(</m:t>
        </m:r>
        <m:r>
          <m:t>2</m:t>
        </m:r>
        <m:r>
          <m:t>a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; their continuous limits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A pilot coefficient substitutes into this expression before a compact cutoff is applied. The explicit multivariate fundamental-matrix expression is an analytical identity, not a guarantee of stable numerical inversion of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; strongly contracting dynamics can make that inversion ill-conditioned.</w:t>
      </w:r>
    </w:p>
    <w:bookmarkEnd w:id="11"/>
    <w:bookmarkStart w:id="12" w:name="gls-and-the-order-of-limits"/>
    <w:p>
      <w:pPr>
        <w:pStyle w:val="Heading2"/>
      </w:pPr>
      <w:r>
        <w:t xml:space="preserve">4. GLS and the order of limits</w:t>
      </w:r>
    </w:p>
    <w:p>
      <w:pPr>
        <w:pStyle w:val="FirstParagraph"/>
      </w:pPr>
      <w:r>
        <w:t xml:space="preserve">For tests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, put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script"/>
                <m:sty m:val="p"/>
              </m:rPr>
              <m:t>D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r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k</m:t>
            </m:r>
            <m:r>
              <m:t>ℓ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C</m:t>
        </m:r>
        <m:sSub>
          <m:e>
            <m:r>
              <m:t>λ</m:t>
            </m:r>
          </m:e>
          <m:sub>
            <m:r>
              <m:t>ℓ</m:t>
            </m:r>
          </m:sub>
        </m:sSub>
        <m:r>
          <m:rPr>
            <m:sty m:val="p"/>
          </m:rPr>
          <m:t>⟩</m:t>
        </m:r>
      </m:oMath>
      <w:r>
        <w:t xml:space="preserve">. Remove exact linear dependencies. If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full column rank, covariance-weighted weak regression has local influence and covariance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D</m:t>
              </m:r>
            </m:e>
            <m:sup>
              <m:r>
                <m:t>T</m:t>
              </m:r>
            </m:sup>
          </m:sSup>
          <m:sSup>
            <m:e>
              <m:r>
                <m:rPr>
                  <m:sty m:val="p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D</m:t>
              </m:r>
            </m:e>
            <m:sup>
              <m:r>
                <m:t>T</m:t>
              </m:r>
            </m:sup>
          </m:sSup>
          <m:sSup>
            <m:e>
              <m:r>
                <m:rPr>
                  <m:sty m:val="p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D</m:t>
              </m:r>
            </m:e>
            <m:sup>
              <m:r>
                <m:t>T</m:t>
              </m:r>
            </m:sup>
          </m:sSup>
          <m:sSup>
            <m:e>
              <m:r>
                <m:rPr>
                  <m:sty m:val="p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WENDy’s covariance iteration motivates this construction</w:t>
      </w:r>
      <w:r>
        <w:t xml:space="preserve"> </w:t>
      </w:r>
      <w:r>
        <w:t xml:space="preserve">[2]</w:t>
      </w:r>
      <w:r>
        <w:t xml:space="preserve">, but the released iid covariance is not the correct physical-OU covariance. Under polynomial features Proposition 3 supplies the complete coupled residual weights. Its order-one term determines the small-noise efficient influence; higher orders correct residual uncertainty at finite amplitude without by themselves removing coefficient-estimator bias.</w:t>
      </w:r>
    </w:p>
    <w:p>
      <w:pPr>
        <w:pStyle w:val="BodyText"/>
      </w:pPr>
      <w:r>
        <w:t xml:space="preserve">The same leading map arises from a parameter-dependent Gaussian weak likelihood of the form studied by WENDy-MLE</w:t>
      </w:r>
      <w:r>
        <w:t xml:space="preserve"> </w:t>
      </w:r>
      <w:r>
        <w:t xml:space="preserve">[3]</w:t>
      </w:r>
      <w:r>
        <w:t xml:space="preserve">, provided the covariance shape is correct and the local solution is regular. For fixed dimension write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ϵ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ϵ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ϵ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with smooth positive definite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0</m:t>
            </m:r>
          </m:sub>
        </m:sSub>
      </m:oMath>
      <w:r>
        <w:t xml:space="preserve">. The objective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det</m:t>
        </m:r>
        <m:sSub>
          <m:e>
            <m:r>
              <m:rPr>
                <m:sty m:val="p"/>
              </m:rPr>
              <m:t>Σ</m:t>
            </m:r>
          </m:e>
          <m:sub>
            <m:r>
              <m:t>ϵ</m:t>
            </m:r>
          </m:sub>
        </m:sSub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T</m:t>
            </m:r>
          </m:sup>
        </m:sSup>
        <m:sSubSup>
          <m:e>
            <m:r>
              <m:rPr>
                <m:sty m:val="p"/>
              </m:rPr>
              <m:t>Σ</m:t>
            </m:r>
          </m:e>
          <m:sub>
            <m:r>
              <m:t>ϵ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t>r</m:t>
        </m:r>
      </m:oMath>
      <w:r>
        <w:t xml:space="preserve"> </w:t>
      </w:r>
      <w:r>
        <w:t xml:space="preserve">has covariance-derivative and log-determinant score terms of order</w:t>
      </w:r>
      <w:r>
        <w:t xml:space="preserve"> </w:t>
      </w:r>
      <m:oMath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an</w:t>
      </w:r>
      <w:r>
        <w:t xml:space="preserve"> </w:t>
      </w:r>
      <m:oMath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neighborhood; its mean-residual score is of order</w:t>
      </w:r>
      <w:r>
        <w:t xml:space="preserve"> </w:t>
      </w:r>
      <m:oMath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ϵ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. The local score equation therefore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=</m:t>
          </m:r>
          <m:r>
            <m:t>ϵ</m:t>
          </m:r>
          <m:r>
            <m:rPr>
              <m:sty m:val="p"/>
            </m:rPr>
            <m:t>(</m:t>
          </m:r>
          <m:sSup>
            <m:e>
              <m:r>
                <m:t>D</m:t>
              </m:r>
            </m:e>
            <m:sup>
              <m:r>
                <m:t>T</m:t>
              </m:r>
            </m:sup>
          </m:sSup>
          <m:sSubSup>
            <m:e>
              <m:r>
                <m:rPr>
                  <m:sty m:val="p"/>
                </m:rPr>
                <m:t>Σ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D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D</m:t>
              </m:r>
            </m:e>
            <m:sup>
              <m:r>
                <m:t>T</m:t>
              </m:r>
            </m:sup>
          </m:sSup>
          <m:sSubSup>
            <m:e>
              <m:r>
                <m:rPr>
                  <m:sty m:val="p"/>
                </m:rPr>
                <m:t>Σ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log determinant and covariance derivatives distinguish finite-noise weak likelihood from frozen GLS, while both share the correct-covariance leading influence under these assumptions. This connects Corollary 1 to a regular local weak-likelihood estimator; it does not supply global optimization or covariance-calibration consistency for a released implementation.</w:t>
      </w:r>
    </w:p>
    <w:p>
      <w:pPr>
        <w:pStyle w:val="BodyText"/>
      </w:pPr>
      <w:r>
        <w:rPr>
          <w:b/>
          <w:bCs/>
        </w:rPr>
        <w:t xml:space="preserve">Corollary 1 (small-noise, dense-span efficiency).</w:t>
      </w:r>
      <w:r>
        <w:t xml:space="preserve"> </w:t>
      </w:r>
      <w:r>
        <w:t xml:space="preserve">Let the noise be</w:t>
      </w:r>
      <w:r>
        <w:t xml:space="preserve"> </w:t>
      </w:r>
      <m:oMath>
        <m:r>
          <m:t>ϵ</m:t>
        </m:r>
        <m:sSub>
          <m:e>
            <m:r>
              <m:t>η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with known covariance shape</w:t>
      </w:r>
      <w:r>
        <w:t xml:space="preserve"> </w:t>
      </w:r>
      <m:oMath>
        <m:r>
          <m:t>C</m:t>
        </m:r>
      </m:oMath>
      <w:r>
        <w:t xml:space="preserve">. Assume a smooth identifiable parameterization, a generating parameter interior to a compact parameter set, consistent pilots, consistent covariance-shape weights and quadrature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 For each fixed finite test family assume a regular local weak solution with the GLS linearization. For the covariance conclusion additionally assume uniform integrability of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ϵ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ϵ</m:t>
            </m:r>
          </m:sub>
        </m:sSub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 A sufficient implementation uses a uniformly stable smooth local solve, Gaussian moment control on the local Taylor remainder, and bounded fallback outside the regular region on a bad event whose probability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ϵ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ϵ</m:t>
              </m:r>
            </m:sub>
          </m:sSub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ϵ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Cov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ϵ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nested test-influence spans are dense in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e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Proof.</w:t>
      </w:r>
      <w:r>
        <w:t xml:space="preserve"> </w:t>
      </w:r>
      <w:r>
        <w:t xml:space="preserve">For fixed</w:t>
      </w:r>
      <w:r>
        <w:t xml:space="preserve"> </w:t>
      </w:r>
      <m:oMath>
        <m:r>
          <m:t>K</m:t>
        </m:r>
      </m:oMath>
      <w:r>
        <w:t xml:space="preserve">, a first-order expansion of the weak equations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ϵ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GLS map above. Consistent pilots and weights change the leading map by</w:t>
      </w:r>
      <w:r>
        <w:t xml:space="preserve"> </w:t>
      </w:r>
      <m:oMath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; derivatives of pilot-dependent tests multiply the zero clean residual. Gaussianity gives the distributional assertion; the stated risk condition justifies covariance convergence. In the Gaussian dual space, finite-family information is the Gram matrix of the orthogonal projection of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R</m:t>
        </m:r>
      </m:oMath>
      <w:r>
        <w:t xml:space="preserve"> </w:t>
      </w:r>
      <w:r>
        <w:t xml:space="preserve">onto its test span. Density gives projection convergence, and nested spans give increasing information; continuity of inversion at positive definite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gives covariance convergence.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conclusion is sequential: first small noise and controlled quadrature for fixed</w:t>
      </w:r>
      <w:r>
        <w:t xml:space="preserve"> </w:t>
      </w:r>
      <m:oMath>
        <m:r>
          <m:t>K</m:t>
        </m:r>
      </m:oMath>
      <w:r>
        <w:t xml:space="preserve">, then dense spans. A diagonal joint limit requires uniform remainder, conditioning and covariance-weight control that are not supplied here. This theorem concerns regular WENDy-like weak estimation with correct covariance and supplied identifiable structure. The conditional result covers the leading GLS map, rather than an algorithm name or finite-noise support-selection procedure. A fixed basis cutoff must be compatible with the density assumption; discarding an informative direction permanently can invalidate it.</w:t>
      </w:r>
    </w:p>
    <w:bookmarkEnd w:id="12"/>
    <w:bookmarkStart w:id="20" w:name="references"/>
    <w:p>
      <w:pPr>
        <w:pStyle w:val="Heading2"/>
      </w:pPr>
      <w:r>
        <w:t xml:space="preserve">References</w:t>
      </w:r>
    </w:p>
    <w:bookmarkStart w:id="19" w:name="refs"/>
    <w:bookmarkStart w:id="14" w:name="ref-dette2016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Dette H, Pepelyshev A, Zhigljavsky A. Optimal designs in regression with correlated errors.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44 (2016) 113–152.</w:t>
      </w:r>
      <w:r>
        <w:t xml:space="preserve"> </w:t>
      </w:r>
      <w:hyperlink r:id="rId13">
        <w:r>
          <w:rPr>
            <w:rStyle w:val="Hyperlink"/>
          </w:rPr>
          <w:t xml:space="preserve">https://doi.org/10.1214/15-AOS1361</w:t>
        </w:r>
      </w:hyperlink>
      <w:r>
        <w:t xml:space="preserve">.</w:t>
      </w:r>
    </w:p>
    <w:bookmarkEnd w:id="14"/>
    <w:bookmarkStart w:id="16" w:name="ref-bortz202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Bortz DM, Messenger DA, Dukic V. Direct estimation of parameters in</w:t>
      </w:r>
      <w:r>
        <w:t xml:space="preserve"> </w:t>
      </w:r>
      <w:r>
        <w:t xml:space="preserve">ODE</w:t>
      </w:r>
      <w:r>
        <w:t xml:space="preserve"> </w:t>
      </w:r>
      <w:r>
        <w:t xml:space="preserve">models using</w:t>
      </w:r>
      <w:r>
        <w:t xml:space="preserve"> </w:t>
      </w:r>
      <w:r>
        <w:t xml:space="preserve">WENDy</w:t>
      </w:r>
      <w:r>
        <w:t xml:space="preserve">: Weak-form estimation of nonlinear dynamics.</w:t>
      </w:r>
      <w:r>
        <w:t xml:space="preserve"> </w:t>
      </w:r>
      <w:r>
        <w:rPr>
          <w:i/>
          <w:iCs/>
        </w:rPr>
        <w:t xml:space="preserve">Bulletin of Mathematical Biology</w:t>
      </w:r>
      <w:r>
        <w:t xml:space="preserve"> </w:t>
      </w:r>
      <w:r>
        <w:t xml:space="preserve">85 (2023) 110.</w:t>
      </w:r>
      <w:r>
        <w:t xml:space="preserve"> </w:t>
      </w:r>
      <w:hyperlink r:id="rId15">
        <w:r>
          <w:rPr>
            <w:rStyle w:val="Hyperlink"/>
          </w:rPr>
          <w:t xml:space="preserve">https://doi.org/10.1007/s11538-023-01208-6</w:t>
        </w:r>
      </w:hyperlink>
      <w:r>
        <w:t xml:space="preserve">.</w:t>
      </w:r>
    </w:p>
    <w:bookmarkEnd w:id="16"/>
    <w:bookmarkStart w:id="18" w:name="ref-rummel202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Rummel N, Messenger DA, Becker S, Dukic V, Bortz DM.</w:t>
      </w:r>
      <w:r>
        <w:t xml:space="preserve"> </w:t>
      </w:r>
      <w:hyperlink r:id="rId17">
        <w:r>
          <w:rPr>
            <w:rStyle w:val="Hyperlink"/>
          </w:rPr>
          <w:t xml:space="preserve">Weak form estimation of nonlinear dynamics (</w:t>
        </w:r>
        <w:r>
          <w:rPr>
            <w:rStyle w:val="Hyperlink"/>
          </w:rPr>
          <w:t xml:space="preserve">WENDy</w:t>
        </w:r>
        <w:r>
          <w:rPr>
            <w:rStyle w:val="Hyperlink"/>
          </w:rPr>
          <w:t xml:space="preserve">) for nonlinear-in-parameters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ODEs</w:t>
        </w:r>
      </w:hyperlink>
      <w:r>
        <w:t xml:space="preserve">. arXiv preprint arXiv:2502.08881v3 (2025).</w:t>
      </w:r>
    </w:p>
    <w:bookmarkEnd w:id="18"/>
    <w:bookmarkEnd w:id="19"/>
    <w:bookmarkEnd w:id="20"/>
    <w:sectPr>
      <w:footnotePr>
        <w:numRestart w:val="eachSect"/>
      </w:footnotePr>
      <w:pgSz w:w="11906" w:h="16838"/>
      <w:pgMar w:left="1304" w:right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arxiv.org/abs/2502.08881v3" TargetMode="External"/><Relationship Id="rId15" Type="http://schemas.openxmlformats.org/officeDocument/2006/relationships/hyperlink" Target="https://doi.org/10.1007/s11538-023-01208-6" TargetMode="External"/><Relationship Id="rId13" Type="http://schemas.openxmlformats.org/officeDocument/2006/relationships/hyperlink" Target="https://doi.org/10.1214/15-AOS1361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arxiv.org/abs/2502.08881v3" TargetMode="External"/><Relationship Id="rId15" Type="http://schemas.openxmlformats.org/officeDocument/2006/relationships/hyperlink" Target="https://doi.org/10.1007/s11538-023-01208-6" TargetMode="External"/><Relationship Id="rId13" Type="http://schemas.openxmlformats.org/officeDocument/2006/relationships/hyperlink" Target="https://doi.org/10.1214/15-AOS13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Boundary-free weak influences: range closure, sharp information and feasible GLS</dc:title>
  <dc:creator/>
  <dc:language>en-US</dc:language>
  <cp:keywords/>
  <dcterms:created xsi:type="dcterms:W3CDTF">2026-10-12T13:48:25Z</dcterms:created>
  <dcterms:modified xsi:type="dcterms:W3CDTF">2026-10-12T13:48:25Z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D:\new_state\research_sampling_wsindy\manuscript\publication_references.bib</vt:lpwstr>
  </property>
  <property fmtid="{D5CDD505-2E9C-101B-9397-08002B2CF9AE}" pid="3" name="csl">
    <vt:lpwstr>D:\new_state\research_sampling_wsindy\manuscript\numeric.csl</vt:lpwstr>
  </property>
</Properties>
</file>