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margin">
              <wp:posOffset>-1122995</wp:posOffset>
            </wp:positionH>
            <wp:positionV relativeFrom="margin">
              <wp:posOffset>5033010</wp:posOffset>
            </wp:positionV>
            <wp:extent cx="7620000" cy="4953000"/>
            <wp:effectExtent b="0" l="0" r="0" t="0"/>
            <wp:wrapNone/>
            <wp:docPr id="1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181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95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-1094421</wp:posOffset>
            </wp:positionH>
            <wp:positionV relativeFrom="margin">
              <wp:posOffset>-720088</wp:posOffset>
            </wp:positionV>
            <wp:extent cx="7620000" cy="5748589"/>
            <wp:effectExtent b="0" l="0" r="0" t="0"/>
            <wp:wrapSquare wrapText="bothSides" distB="0" distT="0" distL="114300" distR="114300"/>
            <wp:docPr id="13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241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48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1650365</wp:posOffset>
            </wp:positionH>
            <wp:positionV relativeFrom="margin">
              <wp:posOffset>7230110</wp:posOffset>
            </wp:positionV>
            <wp:extent cx="4560570" cy="2394585"/>
            <wp:effectExtent b="0" l="0" r="0" t="0"/>
            <wp:wrapSquare wrapText="bothSides" distB="0" distT="0" distL="114300" distR="114300"/>
            <wp:docPr id="13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2394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 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-507999</wp:posOffset>
                </wp:positionH>
                <wp:positionV relativeFrom="paragraph">
                  <wp:posOffset>2209800</wp:posOffset>
                </wp:positionV>
                <wp:extent cx="6134100" cy="2066925"/>
                <wp:effectExtent b="0" l="0" r="0" t="0"/>
                <wp:wrapNone/>
                <wp:docPr id="12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88475" y="2830431"/>
                          <a:ext cx="6115050" cy="18991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72"/>
                                <w:vertAlign w:val="baseline"/>
                              </w:rPr>
                              <w:t xml:space="preserve">Введение в BI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7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48"/>
                                <w:vertAlign w:val="baseline"/>
                              </w:rPr>
                              <w:t xml:space="preserve">Методичка к уроку </w:t>
                            </w: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48"/>
                                <w:vertAlign w:val="baseline"/>
                              </w:rPr>
                              <w:t xml:space="preserve">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48"/>
                                <w:vertAlign w:val="baseline"/>
                              </w:rPr>
                              <w:t xml:space="preserve">Из каких этапов состоит создание отчета?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4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-507999</wp:posOffset>
                </wp:positionH>
                <wp:positionV relativeFrom="paragraph">
                  <wp:posOffset>2209800</wp:posOffset>
                </wp:positionV>
                <wp:extent cx="6134100" cy="2066925"/>
                <wp:effectExtent b="0" l="0" r="0" t="0"/>
                <wp:wrapNone/>
                <wp:docPr id="12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34100" cy="2066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1016.3999999999999" w:hRule="atLeast"/>
          <w:tblHeader w:val="0"/>
        </w:trPr>
        <w:tc>
          <w:tcPr>
            <w:shd w:fill="e3fae2" w:val="clear"/>
          </w:tcPr>
          <w:p w:rsidR="00000000" w:rsidDel="00000000" w:rsidP="00000000" w:rsidRDefault="00000000" w:rsidRPr="00000000" w14:paraId="00000009">
            <w:pPr>
              <w:spacing w:line="276" w:lineRule="auto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tabs>
              <w:tab w:val="right" w:pos="9354.511811023624"/>
            </w:tabs>
            <w:spacing w:before="80" w:line="240" w:lineRule="auto"/>
            <w:ind w:left="0" w:firstLine="0"/>
            <w:rPr>
              <w:rFonts w:ascii="IBM Plex Sans" w:cs="IBM Plex Sans" w:eastAsia="IBM Plex Sans" w:hAnsi="IBM Plex Sans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5kt8upejhke8">
            <w:r w:rsidDel="00000000" w:rsidR="00000000" w:rsidRPr="00000000">
              <w:rPr>
                <w:rFonts w:ascii="IBM Plex Sans" w:cs="IBM Plex Sans" w:eastAsia="IBM Plex Sans" w:hAnsi="IBM Plex San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Как определить уровень развития BI системы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_heading=h.5kt8upejhke8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s" w:cs="IBM Plex Sans" w:eastAsia="IBM Plex Sans" w:hAnsi="IBM Plex Sans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789sb95axu2">
            <w:r w:rsidDel="00000000" w:rsidR="00000000" w:rsidRPr="00000000">
              <w:rPr>
                <w:rFonts w:ascii="IBM Plex Sans" w:cs="IBM Plex Sans" w:eastAsia="IBM Plex Sans" w:hAnsi="IBM Plex San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Квадрант Gartner’a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_heading=h.a789sb95axu2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IBM Plex Sans" w:cs="IBM Plex Sans" w:eastAsia="IBM Plex Sans" w:hAnsi="IBM Plex Sans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pzsmkl75s8wd">
            <w:r w:rsidDel="00000000" w:rsidR="00000000" w:rsidRPr="00000000">
              <w:rPr>
                <w:rFonts w:ascii="IBM Plex Sans" w:cs="IBM Plex Sans" w:eastAsia="IBM Plex Sans" w:hAnsi="IBM Plex San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Методы расчёта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_heading=h.pzsmkl75s8wd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s" w:cs="IBM Plex Sans" w:eastAsia="IBM Plex Sans" w:hAnsi="IBM Plex Sans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IBM Plex Sans" w:cs="IBM Plex Sans" w:eastAsia="IBM Plex Sans" w:hAnsi="IBM Plex San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Лидеры квадранта Gartner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IBM Plex Sans" w:cs="IBM Plex Sans" w:eastAsia="IBM Plex Sans" w:hAnsi="IBM Plex Sans"/>
            </w:rPr>
          </w:pPr>
          <w:hyperlink w:anchor="_heading=h.26in1rg"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Power BI Desktop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IBM Plex Sans" w:cs="IBM Plex Sans" w:eastAsia="IBM Plex Sans" w:hAnsi="IBM Plex Sans"/>
            </w:rPr>
          </w:pPr>
          <w:hyperlink w:anchor="_heading=h.lnxbz9"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Power BI Pro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IBM Plex Sans" w:cs="IBM Plex Sans" w:eastAsia="IBM Plex Sans" w:hAnsi="IBM Plex Sans"/>
            </w:rPr>
          </w:pPr>
          <w:hyperlink w:anchor="_heading=h.k9ggxfa4ya8s"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Power BI Embedded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_heading=h.k9ggxfa4ya8s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IBM Plex Sans" w:cs="IBM Plex Sans" w:eastAsia="IBM Plex Sans" w:hAnsi="IBM Plex Sans"/>
            </w:rPr>
          </w:pPr>
          <w:hyperlink w:anchor="_heading=h.1ksv4uv"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Power BI Premium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IBM Plex Sans" w:cs="IBM Plex Sans" w:eastAsia="IBM Plex Sans" w:hAnsi="IBM Plex Sans"/>
            </w:rPr>
          </w:pPr>
          <w:hyperlink w:anchor="_heading=h.jssbzfwdudla"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Power BI On Premise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_heading=h.jssbzfwdudla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s" w:cs="IBM Plex Sans" w:eastAsia="IBM Plex Sans" w:hAnsi="IBM Plex Sans"/>
            </w:rPr>
          </w:pPr>
          <w:hyperlink w:anchor="_heading=h.dtijl1k8dhtk"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Примеры архитектуры решений для разных версий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_heading=h.dtijl1k8dhtk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s" w:cs="IBM Plex Sans" w:eastAsia="IBM Plex Sans" w:hAnsi="IBM Plex Sans"/>
            </w:rPr>
          </w:pPr>
          <w:hyperlink w:anchor="_heading=h.2jxsxqh"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54.511811023624"/>
            </w:tabs>
            <w:spacing w:after="80" w:before="200" w:line="240" w:lineRule="auto"/>
            <w:ind w:left="0" w:firstLine="0"/>
            <w:rPr>
              <w:rFonts w:ascii="IBM Plex Sans" w:cs="IBM Plex Sans" w:eastAsia="IBM Plex Sans" w:hAnsi="IBM Plex Sans"/>
            </w:rPr>
          </w:pPr>
          <w:hyperlink w:anchor="_heading=h.tgip013rhy"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Домашнее задание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_heading=h.tgip013rhy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BM Plex Sans" w:cs="IBM Plex Sans" w:eastAsia="IBM Plex Sans" w:hAnsi="IBM Plex Sans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bookmarkStart w:colFirst="0" w:colLast="0" w:name="_heading=h.r3q9u4b2qh1y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BM Plex Sans" w:cs="IBM Plex Sans" w:eastAsia="IBM Plex Sans" w:hAnsi="IBM Plex Sans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bookmarkStart w:colFirst="0" w:colLast="0" w:name="_heading=h.e1ww5mjf8m1" w:id="1"/>
      <w:bookmarkEnd w:id="1"/>
      <w:r w:rsidDel="00000000" w:rsidR="00000000" w:rsidRPr="00000000">
        <w:rPr>
          <w:rFonts w:ascii="IBM Plex Sans" w:cs="IBM Plex Sans" w:eastAsia="IBM Plex Sans" w:hAnsi="IBM Plex Sans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На этой лекции вы найдете ответы на такие вопросы как / узнаете:</w:t>
      </w:r>
    </w:p>
    <w:p w:rsidR="00000000" w:rsidDel="00000000" w:rsidP="00000000" w:rsidRDefault="00000000" w:rsidRPr="00000000" w14:paraId="0000001B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pacing w:after="200" w:line="276" w:lineRule="auto"/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Выбор инструмента, в котором мы работаем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spacing w:after="200" w:line="276" w:lineRule="auto"/>
        <w:ind w:left="720" w:right="38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Выбор источника данных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after="200" w:line="276" w:lineRule="auto"/>
        <w:ind w:left="720" w:right="38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Преобразование первичных данных в табличный вид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after="200" w:line="276" w:lineRule="auto"/>
        <w:ind w:left="720" w:right="38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Расчет показателей при помощи формул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after="200" w:line="276" w:lineRule="auto"/>
        <w:ind w:left="720" w:right="38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Создание визуальных элементов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after="200" w:line="276" w:lineRule="auto"/>
        <w:ind w:left="720" w:right="38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UX/UI отчетов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Что мы делаем с отчетом после того, как он готов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BM Plex Sans" w:cs="IBM Plex Sans" w:eastAsia="IBM Plex Sans" w:hAnsi="IBM Plex Sans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bookmarkStart w:colFirst="0" w:colLast="0" w:name="_heading=h.30j0zll" w:id="2"/>
      <w:bookmarkEnd w:id="2"/>
      <w:r w:rsidDel="00000000" w:rsidR="00000000" w:rsidRPr="00000000">
        <w:rPr>
          <w:rFonts w:ascii="IBM Plex Sans" w:cs="IBM Plex Sans" w:eastAsia="IBM Plex Sans" w:hAnsi="IBM Plex Sans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Термины, используемые в лекции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BI (business intelligence) — автоматизация аналитических процессов для презентации данных в красивой форме. </w:t>
      </w:r>
    </w:p>
    <w:p w:rsidR="00000000" w:rsidDel="00000000" w:rsidP="00000000" w:rsidRDefault="00000000" w:rsidRPr="00000000" w14:paraId="00000026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Ad-hoc аналитика — аналитика, нужная в моменте, а не на постоянной основе. Ее готовят один раз по какому-то поводу и не обновляют.</w:t>
      </w:r>
    </w:p>
    <w:p w:rsidR="00000000" w:rsidDel="00000000" w:rsidP="00000000" w:rsidRDefault="00000000" w:rsidRPr="00000000" w14:paraId="00000027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ERP-системы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(enterprise resource planning system) — система планирования ресурсов предприятия. Предназначена для автоматизации управленческого учёта. На нашем рынке типичная ERP-система — это 1С.</w:t>
      </w:r>
    </w:p>
    <w:p w:rsidR="00000000" w:rsidDel="00000000" w:rsidP="00000000" w:rsidRDefault="00000000" w:rsidRPr="00000000" w14:paraId="00000028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CRM-система (customer relation management) — система ведения и управления отношениями с клиентами. В ней сохраняется история взаимоотношений с клиентами: тендеры, продажи, поставки, контакты.  Для малого и среднего бизнеса на нашем рынке распространены Bitrix и AmoCRM, для крупных компаний — Dynamics (Microsoft) и Terrasoft.</w:t>
      </w:r>
    </w:p>
    <w:p w:rsidR="00000000" w:rsidDel="00000000" w:rsidP="00000000" w:rsidRDefault="00000000" w:rsidRPr="00000000" w14:paraId="00000029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Веб-аналитика — системы, позволяющие собирать и анализировать данные о посетителях сайтов.</w:t>
      </w:r>
    </w:p>
    <w:p w:rsidR="00000000" w:rsidDel="00000000" w:rsidP="00000000" w:rsidRDefault="00000000" w:rsidRPr="00000000" w14:paraId="0000002A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Call tracking — системы, отслеживающие звонки клиентов, поступившие из онлайн-ресурсов. Помогают определить источник, который привел к звонку</w:t>
      </w:r>
    </w:p>
    <w:p w:rsidR="00000000" w:rsidDel="00000000" w:rsidP="00000000" w:rsidRDefault="00000000" w:rsidRPr="00000000" w14:paraId="0000002B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SQL — язык программирования для управления базами данных.</w:t>
      </w:r>
    </w:p>
    <w:p w:rsidR="00000000" w:rsidDel="00000000" w:rsidP="00000000" w:rsidRDefault="00000000" w:rsidRPr="00000000" w14:paraId="0000002C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Excel — программа для работы с табличными данными.</w:t>
      </w:r>
    </w:p>
    <w:p w:rsidR="00000000" w:rsidDel="00000000" w:rsidP="00000000" w:rsidRDefault="00000000" w:rsidRPr="00000000" w14:paraId="0000002D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Enterprise — очень крупные компании: например, Магнит, Nestle, Сбербанк, Лукойл.</w:t>
      </w:r>
    </w:p>
    <w:p w:rsidR="00000000" w:rsidDel="00000000" w:rsidP="00000000" w:rsidRDefault="00000000" w:rsidRPr="00000000" w14:paraId="0000002E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DAX — язык программирования внутри Power BI для преобразования данных.</w:t>
      </w:r>
    </w:p>
    <w:p w:rsidR="00000000" w:rsidDel="00000000" w:rsidP="00000000" w:rsidRDefault="00000000" w:rsidRPr="00000000" w14:paraId="0000002F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Power Query — язык программирования внутри Power BI для загрузки данных.</w:t>
      </w:r>
    </w:p>
    <w:p w:rsidR="00000000" w:rsidDel="00000000" w:rsidP="00000000" w:rsidRDefault="00000000" w:rsidRPr="00000000" w14:paraId="00000030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171717"/>
          <w:sz w:val="20"/>
          <w:szCs w:val="20"/>
          <w:highlight w:val="white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Olap-кубы (online analytical processing) — многомерный массив данных. </w:t>
      </w:r>
      <w:r w:rsidDel="00000000" w:rsidR="00000000" w:rsidRPr="00000000">
        <w:rPr>
          <w:rFonts w:ascii="IBM Plex Sans" w:cs="IBM Plex Sans" w:eastAsia="IBM Plex Sans" w:hAnsi="IBM Plex Sans"/>
          <w:color w:val="171717"/>
          <w:sz w:val="20"/>
          <w:szCs w:val="20"/>
          <w:highlight w:val="white"/>
          <w:rtl w:val="0"/>
        </w:rPr>
        <w:t xml:space="preserve">Это звено, завершающее облик решения по созданию и обслуживанию хранилищ данных.</w:t>
      </w:r>
    </w:p>
    <w:p w:rsidR="00000000" w:rsidDel="00000000" w:rsidP="00000000" w:rsidRDefault="00000000" w:rsidRPr="00000000" w14:paraId="00000031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Коннектор — программа, позволяющая автоматически забрать данные из конкретного источника данных.</w:t>
      </w:r>
    </w:p>
    <w:p w:rsidR="00000000" w:rsidDel="00000000" w:rsidP="00000000" w:rsidRDefault="00000000" w:rsidRPr="00000000" w14:paraId="00000032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Справочник — таблица с набором уникальных значений. Позволяет объединить между собой 2 или более таблиц в единую базу данных.</w:t>
      </w:r>
    </w:p>
    <w:p w:rsidR="00000000" w:rsidDel="00000000" w:rsidP="00000000" w:rsidRDefault="00000000" w:rsidRPr="00000000" w14:paraId="00000033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Дашборд — интерактивный отчёт, в котором можно «играть» с данными в режиме онлайн.</w:t>
      </w:r>
    </w:p>
    <w:p w:rsidR="00000000" w:rsidDel="00000000" w:rsidP="00000000" w:rsidRDefault="00000000" w:rsidRPr="00000000" w14:paraId="00000034">
      <w:pPr>
        <w:spacing w:after="200" w:before="200" w:line="360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B2B (business to business) — виды бизнеса, в которых взаимодействие идёт между компаниями, без физических лиц.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rFonts w:ascii="IBM Plex Sans" w:cs="IBM Plex Sans" w:eastAsia="IBM Plex Sans" w:hAnsi="IBM Plex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BM Plex Sans" w:cs="IBM Plex Sans" w:eastAsia="IBM Plex Sans" w:hAnsi="IBM Plex Sans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fob9te" w:id="3"/>
      <w:bookmarkEnd w:id="3"/>
      <w:r w:rsidDel="00000000" w:rsidR="00000000" w:rsidRPr="00000000">
        <w:rPr>
          <w:rFonts w:ascii="IBM Plex Sans" w:cs="IBM Plex Sans" w:eastAsia="IBM Plex Sans" w:hAnsi="IBM Plex Sans"/>
          <w:sz w:val="44"/>
          <w:szCs w:val="44"/>
          <w:rtl w:val="0"/>
        </w:rPr>
        <w:t xml:space="preserve">Выбор инструмента, в котором мы работаем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Перед тем, как мы приступим к работе, нам нужно выбрать тот инструмент, в котором мы будем создавать отчет.</w:t>
      </w:r>
    </w:p>
    <w:p w:rsidR="00000000" w:rsidDel="00000000" w:rsidP="00000000" w:rsidRDefault="00000000" w:rsidRPr="00000000" w14:paraId="00000039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Для этого давайте определим объективные показатели качества инструмента - международные рейтинги и цифры на нашем рынке.</w:t>
      </w:r>
    </w:p>
    <w:p w:rsidR="00000000" w:rsidDel="00000000" w:rsidP="00000000" w:rsidRDefault="00000000" w:rsidRPr="00000000" w14:paraId="0000003B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keepNext w:val="1"/>
        <w:keepLines w:val="1"/>
        <w:spacing w:after="120" w:before="200" w:lineRule="auto"/>
        <w:rPr>
          <w:rFonts w:ascii="IBM Plex Sans" w:cs="IBM Plex Sans" w:eastAsia="IBM Plex Sans" w:hAnsi="IBM Plex Sans"/>
          <w:b w:val="0"/>
          <w:sz w:val="36"/>
          <w:szCs w:val="36"/>
        </w:rPr>
      </w:pPr>
      <w:bookmarkStart w:colFirst="0" w:colLast="0" w:name="_heading=h.5kt8upejhke8" w:id="4"/>
      <w:bookmarkEnd w:id="4"/>
      <w:r w:rsidDel="00000000" w:rsidR="00000000" w:rsidRPr="00000000">
        <w:rPr>
          <w:rFonts w:ascii="IBM Plex Sans" w:cs="IBM Plex Sans" w:eastAsia="IBM Plex Sans" w:hAnsi="IBM Plex Sans"/>
          <w:b w:val="0"/>
          <w:sz w:val="36"/>
          <w:szCs w:val="36"/>
          <w:rtl w:val="0"/>
        </w:rPr>
        <w:t xml:space="preserve">Как определить уровень развития BI системы</w:t>
      </w:r>
    </w:p>
    <w:p w:rsidR="00000000" w:rsidDel="00000000" w:rsidP="00000000" w:rsidRDefault="00000000" w:rsidRPr="00000000" w14:paraId="0000003D">
      <w:pPr>
        <w:pStyle w:val="Heading1"/>
        <w:keepNext w:val="1"/>
        <w:keepLines w:val="1"/>
        <w:spacing w:after="120" w:before="200" w:lineRule="auto"/>
        <w:rPr>
          <w:rFonts w:ascii="IBM Plex Sans" w:cs="IBM Plex Sans" w:eastAsia="IBM Plex Sans" w:hAnsi="IBM Plex Sans"/>
          <w:b w:val="0"/>
          <w:sz w:val="36"/>
          <w:szCs w:val="36"/>
        </w:rPr>
      </w:pPr>
      <w:bookmarkStart w:colFirst="0" w:colLast="0" w:name="_heading=h.a789sb95axu2" w:id="5"/>
      <w:bookmarkEnd w:id="5"/>
      <w:r w:rsidDel="00000000" w:rsidR="00000000" w:rsidRPr="00000000">
        <w:rPr>
          <w:rFonts w:ascii="IBM Plex Sans" w:cs="IBM Plex Sans" w:eastAsia="IBM Plex Sans" w:hAnsi="IBM Plex Sans"/>
          <w:b w:val="0"/>
          <w:sz w:val="36"/>
          <w:szCs w:val="36"/>
          <w:rtl w:val="0"/>
        </w:rPr>
        <w:t xml:space="preserve">Квадрант Gartner’a</w:t>
      </w:r>
    </w:p>
    <w:p w:rsidR="00000000" w:rsidDel="00000000" w:rsidP="00000000" w:rsidRDefault="00000000" w:rsidRPr="00000000" w14:paraId="0000003E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Основной источник для рейтинга BI систем. </w:t>
      </w:r>
    </w:p>
    <w:p w:rsidR="00000000" w:rsidDel="00000000" w:rsidP="00000000" w:rsidRDefault="00000000" w:rsidRPr="00000000" w14:paraId="0000003F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Gartner — это крупная исследовательская компания, основанная в 1979 году и специализирующаяся на IT-рынке. Выпускает популярные рейтинги IT-систем, в том числе и по BI. Рейтинги составляются в виде магического квадранта.</w:t>
      </w:r>
    </w:p>
    <w:p w:rsidR="00000000" w:rsidDel="00000000" w:rsidP="00000000" w:rsidRDefault="00000000" w:rsidRPr="00000000" w14:paraId="00000040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В 2009 году </w:t>
      </w:r>
      <w:hyperlink r:id="rId11">
        <w:r w:rsidDel="00000000" w:rsidR="00000000" w:rsidRPr="00000000">
          <w:rPr>
            <w:rFonts w:ascii="IBM Plex Sans" w:cs="IBM Plex Sans" w:eastAsia="IBM Plex Sans" w:hAnsi="IBM Plex Sans"/>
            <w:color w:val="1155cc"/>
            <w:sz w:val="20"/>
            <w:szCs w:val="20"/>
            <w:u w:val="single"/>
            <w:rtl w:val="0"/>
          </w:rPr>
          <w:t xml:space="preserve">Gartner выиграла судебный иск</w:t>
        </w:r>
      </w:hyperlink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 по поводу легитимности магических квадрантов. 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Компания zdNet подала в суд, так как посчитала, что её BI-система была недооценена со стороны Gartner. </w:t>
      </w:r>
    </w:p>
    <w:p w:rsidR="00000000" w:rsidDel="00000000" w:rsidP="00000000" w:rsidRDefault="00000000" w:rsidRPr="00000000" w14:paraId="00000041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Квадрант Gartner на 2010 год:</w:t>
      </w:r>
    </w:p>
    <w:p w:rsidR="00000000" w:rsidDel="00000000" w:rsidP="00000000" w:rsidRDefault="00000000" w:rsidRPr="00000000" w14:paraId="00000042">
      <w:pPr>
        <w:spacing w:after="200" w:before="200" w:line="360" w:lineRule="auto"/>
        <w:jc w:val="center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</w:rPr>
        <w:drawing>
          <wp:inline distB="0" distT="0" distL="0" distR="0">
            <wp:extent cx="4176655" cy="3797692"/>
            <wp:effectExtent b="0" l="0" r="0" t="0"/>
            <wp:docPr descr="https://lh3.googleusercontent.com/rO2I1Nqw2AU9cQvcx-2SYRBqQT9CLQSwMyPy3jP1vRMWTSm4EeIYwJ0j4-H0qlCJ95I1fhiDvKNF7JkM3ppEu8xZmHUoQir3b2i9IrmLhTmvx6jZ-ZxWPw-_dZIWtYZC2R5170nieMQ" id="138" name="image2.jpg"/>
            <a:graphic>
              <a:graphicData uri="http://schemas.openxmlformats.org/drawingml/2006/picture">
                <pic:pic>
                  <pic:nvPicPr>
                    <pic:cNvPr descr="https://lh3.googleusercontent.com/rO2I1Nqw2AU9cQvcx-2SYRBqQT9CLQSwMyPy3jP1vRMWTSm4EeIYwJ0j4-H0qlCJ95I1fhiDvKNF7JkM3ppEu8xZmHUoQir3b2i9IrmLhTmvx6jZ-ZxWPw-_dZIWtYZC2R5170nieMQ" id="0" name="image2.jpg"/>
                    <pic:cNvPicPr preferRelativeResize="0"/>
                  </pic:nvPicPr>
                  <pic:blipFill>
                    <a:blip r:embed="rId12"/>
                    <a:srcRect b="0" l="5176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655" cy="3797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Квадрант Gartner за 2020 год:</w:t>
      </w:r>
    </w:p>
    <w:p w:rsidR="00000000" w:rsidDel="00000000" w:rsidP="00000000" w:rsidRDefault="00000000" w:rsidRPr="00000000" w14:paraId="00000044">
      <w:pPr>
        <w:spacing w:after="200" w:before="200" w:line="360" w:lineRule="auto"/>
        <w:jc w:val="center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</w:rPr>
        <w:drawing>
          <wp:inline distB="0" distT="0" distL="0" distR="0">
            <wp:extent cx="3559567" cy="3559567"/>
            <wp:effectExtent b="0" l="0" r="0" t="0"/>
            <wp:docPr descr="https://lh4.googleusercontent.com/F1RmHRLLprtknu_sCDaAdGfRn_D0-a9Bo_l6WSHOHln4u6IA0ffp56JyYafvZuED1rUVIEePNYE0hPCey40sYW0We26u6SNpYJpSnck1VXwVp9H_WzBbdLcLvrfaZ7NKimH2alPPzDk" id="128" name="image9.png"/>
            <a:graphic>
              <a:graphicData uri="http://schemas.openxmlformats.org/drawingml/2006/picture">
                <pic:pic>
                  <pic:nvPicPr>
                    <pic:cNvPr descr="https://lh4.googleusercontent.com/F1RmHRLLprtknu_sCDaAdGfRn_D0-a9Bo_l6WSHOHln4u6IA0ffp56JyYafvZuED1rUVIEePNYE0hPCey40sYW0We26u6SNpYJpSnck1VXwVp9H_WzBbdLcLvrfaZ7NKimH2alPPzDk"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9567" cy="3559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Квадрант выделяет 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двух явных лидеров — это Power BI (Microsoft) и Tableau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. Историческим лидером был Tableau. Power BI начал активно развиваться чуть позже, но быстро стал лучшим решением по мнению Gartner.</w:t>
      </w:r>
    </w:p>
    <w:p w:rsidR="00000000" w:rsidDel="00000000" w:rsidP="00000000" w:rsidRDefault="00000000" w:rsidRPr="00000000" w14:paraId="00000046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Третий игрок на рынке — это Qlik, он постепенно удаляется от двух лидеров.</w:t>
      </w:r>
    </w:p>
    <w:p w:rsidR="00000000" w:rsidDel="00000000" w:rsidP="00000000" w:rsidRDefault="00000000" w:rsidRPr="00000000" w14:paraId="00000047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Также мы видим, что ThoughtSpot находится близко к Qlik, но это новый игрок на рынке и в России он не представлен. В рамках подготовки не был выявлен ни один публичный кейс решения на ThoughtSpot в России.</w:t>
      </w:r>
    </w:p>
    <w:p w:rsidR="00000000" w:rsidDel="00000000" w:rsidP="00000000" w:rsidRDefault="00000000" w:rsidRPr="00000000" w14:paraId="00000048">
      <w:pPr>
        <w:pStyle w:val="Heading2"/>
        <w:spacing w:after="200" w:before="200" w:lineRule="auto"/>
        <w:jc w:val="both"/>
        <w:rPr>
          <w:rFonts w:ascii="IBM Plex Sans" w:cs="IBM Plex Sans" w:eastAsia="IBM Plex Sans" w:hAnsi="IBM Plex Sans"/>
          <w:b w:val="0"/>
          <w:sz w:val="32"/>
          <w:szCs w:val="32"/>
        </w:rPr>
      </w:pPr>
      <w:bookmarkStart w:colFirst="0" w:colLast="0" w:name="_heading=h.pzsmkl75s8wd" w:id="6"/>
      <w:bookmarkEnd w:id="6"/>
      <w:r w:rsidDel="00000000" w:rsidR="00000000" w:rsidRPr="00000000">
        <w:rPr>
          <w:rFonts w:ascii="IBM Plex Sans" w:cs="IBM Plex Sans" w:eastAsia="IBM Plex Sans" w:hAnsi="IBM Plex Sans"/>
          <w:b w:val="0"/>
          <w:sz w:val="32"/>
          <w:szCs w:val="32"/>
          <w:rtl w:val="0"/>
        </w:rPr>
        <w:t xml:space="preserve">Методы расчёта</w:t>
      </w:r>
    </w:p>
    <w:p w:rsidR="00000000" w:rsidDel="00000000" w:rsidP="00000000" w:rsidRDefault="00000000" w:rsidRPr="00000000" w14:paraId="00000049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На схеме две оси: по оси X считается полнота видения, по оси Y — технические возможности инструмента. Они оцениваются по ряду критериев.</w:t>
      </w:r>
    </w:p>
    <w:p w:rsidR="00000000" w:rsidDel="00000000" w:rsidP="00000000" w:rsidRDefault="00000000" w:rsidRPr="00000000" w14:paraId="0000004A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Полнота видения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spacing w:after="0" w:afterAutospacing="0"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Насколько решение соответствует потребностям рынка?</w:t>
      </w:r>
    </w:p>
    <w:p w:rsidR="00000000" w:rsidDel="00000000" w:rsidP="00000000" w:rsidRDefault="00000000" w:rsidRPr="00000000" w14:paraId="0000004C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Какова стратегия продвижения системы?</w:t>
      </w:r>
    </w:p>
    <w:p w:rsidR="00000000" w:rsidDel="00000000" w:rsidP="00000000" w:rsidRDefault="00000000" w:rsidRPr="00000000" w14:paraId="0000004D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Как выстраивается стратегия продаж и ценообразования? </w:t>
      </w:r>
    </w:p>
    <w:p w:rsidR="00000000" w:rsidDel="00000000" w:rsidP="00000000" w:rsidRDefault="00000000" w:rsidRPr="00000000" w14:paraId="0000004E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Как развивается продукт? Применяются ли инновационные технологии? </w:t>
      </w:r>
    </w:p>
    <w:p w:rsidR="00000000" w:rsidDel="00000000" w:rsidP="00000000" w:rsidRDefault="00000000" w:rsidRPr="00000000" w14:paraId="0000004F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Решение соответствует задачам предприятий разного масштаба? </w:t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spacing w:after="20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Есть ли особенность географической стратегии и планы по развитию в других странах?</w:t>
      </w:r>
    </w:p>
    <w:p w:rsidR="00000000" w:rsidDel="00000000" w:rsidP="00000000" w:rsidRDefault="00000000" w:rsidRPr="00000000" w14:paraId="00000051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Технические возможности: </w:t>
      </w:r>
    </w:p>
    <w:p w:rsidR="00000000" w:rsidDel="00000000" w:rsidP="00000000" w:rsidRDefault="00000000" w:rsidRPr="00000000" w14:paraId="00000052">
      <w:pPr>
        <w:numPr>
          <w:ilvl w:val="0"/>
          <w:numId w:val="15"/>
        </w:numPr>
        <w:spacing w:after="0" w:afterAutospacing="0"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Насколько просто и удобно интегрировать систему в рабочий процесс? </w:t>
      </w:r>
    </w:p>
    <w:p w:rsidR="00000000" w:rsidDel="00000000" w:rsidP="00000000" w:rsidRDefault="00000000" w:rsidRPr="00000000" w14:paraId="00000053">
      <w:pPr>
        <w:numPr>
          <w:ilvl w:val="0"/>
          <w:numId w:val="15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Что отличает платформу от конкурентов? </w:t>
      </w:r>
    </w:p>
    <w:p w:rsidR="00000000" w:rsidDel="00000000" w:rsidP="00000000" w:rsidRDefault="00000000" w:rsidRPr="00000000" w14:paraId="00000054">
      <w:pPr>
        <w:numPr>
          <w:ilvl w:val="0"/>
          <w:numId w:val="15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Соответствуют ли решения практическим задачам пользователей?</w:t>
      </w:r>
    </w:p>
    <w:p w:rsidR="00000000" w:rsidDel="00000000" w:rsidP="00000000" w:rsidRDefault="00000000" w:rsidRPr="00000000" w14:paraId="00000055">
      <w:pPr>
        <w:numPr>
          <w:ilvl w:val="0"/>
          <w:numId w:val="15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Продукт оперативно реагирует на тенденции рынка? </w:t>
      </w:r>
    </w:p>
    <w:p w:rsidR="00000000" w:rsidDel="00000000" w:rsidP="00000000" w:rsidRDefault="00000000" w:rsidRPr="00000000" w14:paraId="00000056">
      <w:pPr>
        <w:numPr>
          <w:ilvl w:val="0"/>
          <w:numId w:val="15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Пользоваться им комфортно?</w:t>
      </w:r>
    </w:p>
    <w:p w:rsidR="00000000" w:rsidDel="00000000" w:rsidP="00000000" w:rsidRDefault="00000000" w:rsidRPr="00000000" w14:paraId="00000057">
      <w:pPr>
        <w:numPr>
          <w:ilvl w:val="0"/>
          <w:numId w:val="15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Легко ли его обновлять?</w:t>
      </w:r>
    </w:p>
    <w:p w:rsidR="00000000" w:rsidDel="00000000" w:rsidP="00000000" w:rsidRDefault="00000000" w:rsidRPr="00000000" w14:paraId="00000058">
      <w:pPr>
        <w:numPr>
          <w:ilvl w:val="0"/>
          <w:numId w:val="15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Какие особенности есть у техподдержки?</w:t>
      </w:r>
    </w:p>
    <w:p w:rsidR="00000000" w:rsidDel="00000000" w:rsidP="00000000" w:rsidRDefault="00000000" w:rsidRPr="00000000" w14:paraId="00000059">
      <w:pPr>
        <w:numPr>
          <w:ilvl w:val="0"/>
          <w:numId w:val="15"/>
        </w:numPr>
        <w:spacing w:after="20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Что говорят пользователи? </w:t>
      </w:r>
    </w:p>
    <w:p w:rsidR="00000000" w:rsidDel="00000000" w:rsidP="00000000" w:rsidRDefault="00000000" w:rsidRPr="00000000" w14:paraId="0000005A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В квадранте есть 4 квадрата, по которым распределяются инструменты в зависимости от их развития: 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before="200" w:line="360" w:lineRule="auto"/>
        <w:ind w:left="720" w:hanging="360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Нишевые игроки — самый низкий уровень, решения, которые подходят для узкого круга задач.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Претенденты — хороший технический уровень, но низкое понимание бизнес-потребностей. Бывает довольно редко, все представители на 2020 год близки к центру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Провидцы — понимают рынок, но уровень возможностей низкий. 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200" w:line="360" w:lineRule="auto"/>
        <w:ind w:left="720" w:hanging="360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Лидеры — продукты, которые лучше всего удовлетворяют потребности заказчиков. </w:t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Важно!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Нас интересуют только решения в квадрате лидеров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, так как они внедрены в наибольшем количестве компаний.</w:t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keepNext w:val="1"/>
        <w:keepLines w:val="1"/>
        <w:spacing w:after="120" w:before="200" w:line="360" w:lineRule="auto"/>
        <w:rPr>
          <w:rFonts w:ascii="IBM Plex Sans" w:cs="IBM Plex Sans" w:eastAsia="IBM Plex Sans" w:hAnsi="IBM Plex Sans"/>
          <w:b w:val="0"/>
        </w:rPr>
      </w:pPr>
      <w:bookmarkStart w:colFirst="0" w:colLast="0" w:name="_heading=h.35nkun2" w:id="7"/>
      <w:bookmarkEnd w:id="7"/>
      <w:r w:rsidDel="00000000" w:rsidR="00000000" w:rsidRPr="00000000">
        <w:rPr>
          <w:rFonts w:ascii="IBM Plex Sans" w:cs="IBM Plex Sans" w:eastAsia="IBM Plex Sans" w:hAnsi="IBM Plex Sans"/>
          <w:b w:val="0"/>
          <w:sz w:val="36"/>
          <w:szCs w:val="36"/>
          <w:rtl w:val="0"/>
        </w:rPr>
        <w:t xml:space="preserve">Лидеры квадранта Gartner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hyperlink r:id="rId14">
        <w:r w:rsidDel="00000000" w:rsidR="00000000" w:rsidRPr="00000000">
          <w:rPr>
            <w:rFonts w:ascii="IBM Plex Sans" w:cs="IBM Plex Sans" w:eastAsia="IBM Plex Sans" w:hAnsi="IBM Plex Sans"/>
            <w:color w:val="1155cc"/>
            <w:sz w:val="20"/>
            <w:szCs w:val="20"/>
            <w:u w:val="single"/>
            <w:rtl w:val="0"/>
          </w:rPr>
          <w:t xml:space="preserve">Power BI</w:t>
        </w:r>
      </w:hyperlink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6"/>
        </w:numPr>
        <w:spacing w:after="0" w:afterAutospacing="0" w:before="200"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Разработка Microsoft;</w:t>
      </w:r>
    </w:p>
    <w:p w:rsidR="00000000" w:rsidDel="00000000" w:rsidP="00000000" w:rsidRDefault="00000000" w:rsidRPr="00000000" w14:paraId="00000064">
      <w:pPr>
        <w:numPr>
          <w:ilvl w:val="0"/>
          <w:numId w:val="16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Лидер квадранта последних лет;</w:t>
      </w:r>
    </w:p>
    <w:p w:rsidR="00000000" w:rsidDel="00000000" w:rsidP="00000000" w:rsidRDefault="00000000" w:rsidRPr="00000000" w14:paraId="00000065">
      <w:pPr>
        <w:numPr>
          <w:ilvl w:val="0"/>
          <w:numId w:val="16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Активно развивается с 2015 года;</w:t>
      </w:r>
    </w:p>
    <w:p w:rsidR="00000000" w:rsidDel="00000000" w:rsidP="00000000" w:rsidRDefault="00000000" w:rsidRPr="00000000" w14:paraId="00000066">
      <w:pPr>
        <w:numPr>
          <w:ilvl w:val="0"/>
          <w:numId w:val="16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Хорошо интегрируется с другими программами Microsoft;</w:t>
      </w:r>
    </w:p>
    <w:p w:rsidR="00000000" w:rsidDel="00000000" w:rsidP="00000000" w:rsidRDefault="00000000" w:rsidRPr="00000000" w14:paraId="00000067">
      <w:pPr>
        <w:numPr>
          <w:ilvl w:val="0"/>
          <w:numId w:val="16"/>
        </w:numPr>
        <w:spacing w:before="0" w:beforeAutospacing="0"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Языки: DAX, Power Query, R, Python.</w:t>
      </w:r>
    </w:p>
    <w:p w:rsidR="00000000" w:rsidDel="00000000" w:rsidP="00000000" w:rsidRDefault="00000000" w:rsidRPr="00000000" w14:paraId="00000068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hyperlink r:id="rId15">
        <w:r w:rsidDel="00000000" w:rsidR="00000000" w:rsidRPr="00000000">
          <w:rPr>
            <w:rFonts w:ascii="IBM Plex Sans" w:cs="IBM Plex Sans" w:eastAsia="IBM Plex Sans" w:hAnsi="IBM Plex Sans"/>
            <w:color w:val="1155cc"/>
            <w:sz w:val="20"/>
            <w:szCs w:val="20"/>
            <w:u w:val="single"/>
            <w:rtl w:val="0"/>
          </w:rPr>
          <w:t xml:space="preserve">Tableau</w:t>
        </w:r>
      </w:hyperlink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afterAutospacing="0"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Независимая разработка;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Близко к Power BI в квадранте все последние годы;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Исторический лидер до развития Power BI;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before="0" w:beforeAutospacing="0"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Компании, которые внедрили BI давно, часто до сих пор работают в Tableau.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hyperlink r:id="rId16">
        <w:r w:rsidDel="00000000" w:rsidR="00000000" w:rsidRPr="00000000">
          <w:rPr>
            <w:rFonts w:ascii="IBM Plex Sans" w:cs="IBM Plex Sans" w:eastAsia="IBM Plex Sans" w:hAnsi="IBM Plex Sans"/>
            <w:color w:val="1155cc"/>
            <w:sz w:val="20"/>
            <w:szCs w:val="20"/>
            <w:u w:val="single"/>
            <w:rtl w:val="0"/>
          </w:rPr>
          <w:t xml:space="preserve">QlikView</w:t>
        </w:r>
      </w:hyperlink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4"/>
        </w:numPr>
        <w:spacing w:after="0" w:afterAutospacing="0" w:before="200"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Независимая разработка;</w:t>
      </w:r>
    </w:p>
    <w:p w:rsidR="00000000" w:rsidDel="00000000" w:rsidP="00000000" w:rsidRDefault="00000000" w:rsidRPr="00000000" w14:paraId="0000006F">
      <w:pPr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Индивидуальный язык работы с данными;</w:t>
      </w:r>
    </w:p>
    <w:p w:rsidR="00000000" w:rsidDel="00000000" w:rsidP="00000000" w:rsidRDefault="00000000" w:rsidRPr="00000000" w14:paraId="00000070">
      <w:pPr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Enterprise-решение;</w:t>
      </w:r>
    </w:p>
    <w:p w:rsidR="00000000" w:rsidDel="00000000" w:rsidP="00000000" w:rsidRDefault="00000000" w:rsidRPr="00000000" w14:paraId="00000071">
      <w:pPr>
        <w:numPr>
          <w:ilvl w:val="0"/>
          <w:numId w:val="14"/>
        </w:numPr>
        <w:spacing w:before="0" w:beforeAutospacing="0"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Падает в рейтинге квадранта.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center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</w:rPr>
        <w:drawing>
          <wp:inline distB="0" distT="0" distL="0" distR="0">
            <wp:extent cx="2647188" cy="2757488"/>
            <wp:effectExtent b="0" l="0" r="0" t="0"/>
            <wp:docPr id="1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188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На февраль 2021 года лидером остался только Power BI:</w:t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jc w:val="center"/>
        <w:rPr>
          <w:rFonts w:ascii="IBM Plex Sans" w:cs="IBM Plex Sans" w:eastAsia="IBM Plex Sans" w:hAnsi="IBM Plex Sans"/>
          <w:color w:val="ff0000"/>
          <w:sz w:val="26"/>
          <w:szCs w:val="26"/>
        </w:rPr>
      </w:pPr>
      <w:r w:rsidDel="00000000" w:rsidR="00000000" w:rsidRPr="00000000">
        <w:rPr>
          <w:rFonts w:ascii="IBM Plex Sans" w:cs="IBM Plex Sans" w:eastAsia="IBM Plex Sans" w:hAnsi="IBM Plex Sans"/>
          <w:sz w:val="22"/>
          <w:szCs w:val="22"/>
        </w:rPr>
        <w:drawing>
          <wp:inline distB="19050" distT="19050" distL="19050" distR="19050">
            <wp:extent cx="2716050" cy="2997592"/>
            <wp:effectExtent b="0" l="0" r="0" t="0"/>
            <wp:docPr id="13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6050" cy="2997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jc w:val="left"/>
        <w:rPr>
          <w:rFonts w:ascii="IBM Plex Sans" w:cs="IBM Plex Sans" w:eastAsia="IBM Plex Sans" w:hAnsi="IBM Plex Sans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На 2022 год лидерство Power BI только укрепляется:</w:t>
      </w:r>
    </w:p>
    <w:p w:rsidR="00000000" w:rsidDel="00000000" w:rsidP="00000000" w:rsidRDefault="00000000" w:rsidRPr="00000000" w14:paraId="00000078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</w:rPr>
        <w:drawing>
          <wp:inline distB="19050" distT="19050" distL="19050" distR="19050">
            <wp:extent cx="3984449" cy="4347443"/>
            <wp:effectExtent b="0" l="0" r="0" t="0"/>
            <wp:docPr id="1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4449" cy="4347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Чтобы подтвердить данные квадранта на российском рынке, проведём небольшое исследование: проверим, какие BI-инструменты ищут чаще на январь 2021 года.  </w:t>
      </w:r>
    </w:p>
    <w:p w:rsidR="00000000" w:rsidDel="00000000" w:rsidP="00000000" w:rsidRDefault="00000000" w:rsidRPr="00000000" w14:paraId="0000007B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Сперва зайдём на hh.ru и посмотрим количество вакансий, где в качестве необходимого навыка указаны Power BI, Tableu или Qlik. Увидим следующую картину: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Power BI — 609 вакансий;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Tableu — 476 вакансий;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Qlik — 155 вакансий.</w:t>
      </w:r>
    </w:p>
    <w:p w:rsidR="00000000" w:rsidDel="00000000" w:rsidP="00000000" w:rsidRDefault="00000000" w:rsidRPr="00000000" w14:paraId="0000007F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</w:rPr>
        <w:drawing>
          <wp:inline distB="0" distT="0" distL="0" distR="0">
            <wp:extent cx="5486400" cy="2108200"/>
            <wp:effectExtent b="0" l="0" r="0" t="0"/>
            <wp:docPr id="1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Затем проверим количество запросов в Wordstat (сервис для оценки пользовательского интереса). Там разрыв ещё больше:</w:t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Power BI искали 38 602 раз;</w:t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Tableu — 11 434;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Qlik — 6 888.</w:t>
      </w:r>
    </w:p>
    <w:p w:rsidR="00000000" w:rsidDel="00000000" w:rsidP="00000000" w:rsidRDefault="00000000" w:rsidRPr="00000000" w14:paraId="00000085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</w:rPr>
        <w:drawing>
          <wp:inline distB="0" distT="0" distL="0" distR="0">
            <wp:extent cx="5486400" cy="2108200"/>
            <wp:effectExtent b="0" l="0" r="0" t="0"/>
            <wp:docPr id="1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Теперь дополним эти цифры разрезами за апрель 2021 и май 2022 года, когда рынок уже поменялся и для сравнения добавим лидирующие отечественные решения Luxms BI и Yandex DataLens.</w:t>
      </w:r>
    </w:p>
    <w:p w:rsidR="00000000" w:rsidDel="00000000" w:rsidP="00000000" w:rsidRDefault="00000000" w:rsidRPr="00000000" w14:paraId="00000088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Для начала возьмем количество вакансий в HH.ru:</w:t>
      </w:r>
    </w:p>
    <w:p w:rsidR="00000000" w:rsidDel="00000000" w:rsidP="00000000" w:rsidRDefault="00000000" w:rsidRPr="00000000" w14:paraId="00000089">
      <w:pPr>
        <w:widowControl w:val="0"/>
        <w:spacing w:line="276" w:lineRule="auto"/>
        <w:rPr>
          <w:rFonts w:ascii="IBM Plex Sans" w:cs="IBM Plex Sans" w:eastAsia="IBM Plex Sans" w:hAnsi="IBM Plex Sans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20"/>
      </w:tblPr>
      <w:tblGrid>
        <w:gridCol w:w="2260"/>
        <w:gridCol w:w="2480"/>
        <w:gridCol w:w="2280"/>
        <w:gridCol w:w="2300"/>
        <w:tblGridChange w:id="0">
          <w:tblGrid>
            <w:gridCol w:w="2260"/>
            <w:gridCol w:w="2480"/>
            <w:gridCol w:w="2280"/>
            <w:gridCol w:w="230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4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ind w:left="280" w:firstLine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Название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2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ind w:left="420" w:firstLine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 Январь 2021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2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ind w:left="400" w:firstLine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Апрель 2021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2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ind w:left="400" w:firstLine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Май 2022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ind w:left="280" w:firstLine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Power BI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ind w:left="420" w:firstLine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609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ind w:left="400" w:firstLine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1 657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ind w:left="400" w:firstLine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634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ind w:left="280" w:firstLine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Tableau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ind w:left="420" w:firstLine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476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ind w:left="400" w:firstLine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1 079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ind w:left="400" w:firstLine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410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ind w:left="280" w:firstLine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Qlik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ind w:left="420" w:firstLine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155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ind w:left="400" w:firstLine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441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ind w:left="400" w:firstLine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167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ind w:left="280" w:firstLine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DataLens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jc w:val="center"/>
              <w:rPr>
                <w:rFonts w:ascii="IBM Plex Sans" w:cs="IBM Plex Sans" w:eastAsia="IBM Plex Sans" w:hAnsi="IBM Plex San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ind w:left="400" w:firstLine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20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ind w:left="280" w:firstLine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Luxms BI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jc w:val="center"/>
              <w:rPr>
                <w:rFonts w:ascii="IBM Plex Sans" w:cs="IBM Plex Sans" w:eastAsia="IBM Plex Sans" w:hAnsi="IBM Plex San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jc w:val="center"/>
              <w:rPr>
                <w:rFonts w:ascii="IBM Plex Sans" w:cs="IBM Plex Sans" w:eastAsia="IBM Plex Sans" w:hAnsi="IBM Plex San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jc w:val="center"/>
              <w:rPr>
                <w:rFonts w:ascii="IBM Plex Sans" w:cs="IBM Plex Sans" w:eastAsia="IBM Plex Sans" w:hAnsi="IBM Plex Sans"/>
                <w:sz w:val="28"/>
                <w:szCs w:val="28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Теперь давайте посмотрим на количество запросов в Wordstat:</w:t>
      </w:r>
    </w:p>
    <w:p w:rsidR="00000000" w:rsidDel="00000000" w:rsidP="00000000" w:rsidRDefault="00000000" w:rsidRPr="00000000" w14:paraId="000000B1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line="276" w:lineRule="auto"/>
        <w:rPr>
          <w:rFonts w:ascii="IBM Plex Sans" w:cs="IBM Plex Sans" w:eastAsia="IBM Plex Sans" w:hAnsi="IBM Plex Sans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20"/>
      </w:tblPr>
      <w:tblGrid>
        <w:gridCol w:w="2260"/>
        <w:gridCol w:w="2480"/>
        <w:gridCol w:w="2280"/>
        <w:gridCol w:w="2300"/>
        <w:tblGridChange w:id="0">
          <w:tblGrid>
            <w:gridCol w:w="2260"/>
            <w:gridCol w:w="2480"/>
            <w:gridCol w:w="2280"/>
            <w:gridCol w:w="230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4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ind w:left="280" w:firstLine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Название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2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ind w:left="420" w:firstLine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 Январь 2021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2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ind w:left="400" w:firstLine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Апрель 2021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2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ind w:left="400" w:firstLine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Май 2022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widowControl w:val="0"/>
              <w:ind w:left="280" w:firstLine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Power BI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ind w:left="420" w:firstLine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38 602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ind w:left="400" w:firstLine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64 442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ind w:left="400" w:firstLine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60 334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ind w:left="280" w:firstLine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Tableau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ind w:left="420" w:firstLine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11 433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ind w:left="400" w:firstLine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17 720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ind w:left="400" w:firstLine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18 811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ind w:left="280" w:firstLine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Qlik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ind w:left="420" w:firstLine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6 888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ind w:left="400" w:firstLine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12 206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0"/>
              <w:ind w:left="400" w:firstLine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11 634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0"/>
              <w:ind w:left="280" w:firstLine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DataLens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jc w:val="center"/>
              <w:rPr>
                <w:rFonts w:ascii="IBM Plex Sans" w:cs="IBM Plex Sans" w:eastAsia="IBM Plex Sans" w:hAnsi="IBM Plex San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ind w:left="400" w:firstLine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jc w:val="center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3 891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widowControl w:val="0"/>
              <w:ind w:left="280" w:firstLine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Luxms BI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jc w:val="center"/>
              <w:rPr>
                <w:rFonts w:ascii="IBM Plex Sans" w:cs="IBM Plex Sans" w:eastAsia="IBM Plex Sans" w:hAnsi="IBM Plex San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jc w:val="center"/>
              <w:rPr>
                <w:rFonts w:ascii="IBM Plex Sans" w:cs="IBM Plex Sans" w:eastAsia="IBM Plex Sans" w:hAnsi="IBM Plex San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jc w:val="center"/>
              <w:rPr>
                <w:rFonts w:ascii="IBM Plex Sans" w:cs="IBM Plex Sans" w:eastAsia="IBM Plex Sans" w:hAnsi="IBM Plex Sans"/>
                <w:sz w:val="28"/>
                <w:szCs w:val="28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387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Таким образом по всем объективным показателям мы видим, что Power BI - это самый качественный ликвидный и популярный инструмент, соответственно именно в нем логично развиваться при прочих равных.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76" w:lineRule="auto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bookmarkStart w:colFirst="0" w:colLast="0" w:name="_heading=h.3znysh7" w:id="8"/>
      <w:bookmarkEnd w:id="8"/>
      <w:r w:rsidDel="00000000" w:rsidR="00000000" w:rsidRPr="00000000">
        <w:rPr>
          <w:rFonts w:ascii="IBM Plex Sans" w:cs="IBM Plex Sans" w:eastAsia="IBM Plex Sans" w:hAnsi="IBM Plex Sans"/>
          <w:sz w:val="44"/>
          <w:szCs w:val="44"/>
          <w:rtl w:val="0"/>
        </w:rPr>
        <w:t xml:space="preserve">Версии Power BI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bookmarkStart w:colFirst="0" w:colLast="0" w:name="_heading=h.fms1o0m42idk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Теперь давайте разберемся с тем какие есть версии Power BI.</w:t>
      </w:r>
    </w:p>
    <w:p w:rsidR="00000000" w:rsidDel="00000000" w:rsidP="00000000" w:rsidRDefault="00000000" w:rsidRPr="00000000" w14:paraId="000000E0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Важно! Первое, что необходимо понять — под Power BI можно подразумевать разные вещи: инструмент для создания отчётов, инструмент для совместной разработки отчётов, портал с готовыми отчётами и даже сервер для хранения данных.</w:t>
      </w:r>
    </w:p>
    <w:p w:rsidR="00000000" w:rsidDel="00000000" w:rsidP="00000000" w:rsidRDefault="00000000" w:rsidRPr="00000000" w14:paraId="000000E2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Существуют пять основных версий Power BI. Для нас ключевыми на старте являются две из них.</w:t>
      </w:r>
    </w:p>
    <w:p w:rsidR="00000000" w:rsidDel="00000000" w:rsidP="00000000" w:rsidRDefault="00000000" w:rsidRPr="00000000" w14:paraId="000000E3">
      <w:pPr>
        <w:pStyle w:val="Heading2"/>
        <w:spacing w:after="200" w:before="200" w:lineRule="auto"/>
        <w:rPr>
          <w:rFonts w:ascii="IBM Plex Sans" w:cs="IBM Plex Sans" w:eastAsia="IBM Plex Sans" w:hAnsi="IBM Plex Sans"/>
          <w:b w:val="0"/>
          <w:sz w:val="32"/>
          <w:szCs w:val="32"/>
        </w:rPr>
      </w:pPr>
      <w:bookmarkStart w:colFirst="0" w:colLast="0" w:name="_heading=h.26in1rg" w:id="10"/>
      <w:bookmarkEnd w:id="10"/>
      <w:r w:rsidDel="00000000" w:rsidR="00000000" w:rsidRPr="00000000">
        <w:rPr>
          <w:rFonts w:ascii="IBM Plex Sans" w:cs="IBM Plex Sans" w:eastAsia="IBM Plex Sans" w:hAnsi="IBM Plex Sans"/>
          <w:b w:val="0"/>
          <w:sz w:val="32"/>
          <w:szCs w:val="32"/>
          <w:rtl w:val="0"/>
        </w:rPr>
        <w:t xml:space="preserve">Power BI Desktop</w:t>
      </w:r>
    </w:p>
    <w:p w:rsidR="00000000" w:rsidDel="00000000" w:rsidP="00000000" w:rsidRDefault="00000000" w:rsidRPr="00000000" w14:paraId="000000E4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Это основной инструмент для работы с отчётом. Здесь вы будете создавать отчёт перед тем, как его показать. У Power BI Desktop есть две версии: обычная (с жёлтым логотипом) и для On Premise версии (с чёрным логотипом).</w:t>
      </w:r>
    </w:p>
    <w:p w:rsidR="00000000" w:rsidDel="00000000" w:rsidP="00000000" w:rsidRDefault="00000000" w:rsidRPr="00000000" w14:paraId="000000E5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Power BI Desktop — это:</w:t>
      </w:r>
    </w:p>
    <w:p w:rsidR="00000000" w:rsidDel="00000000" w:rsidP="00000000" w:rsidRDefault="00000000" w:rsidRPr="00000000" w14:paraId="000000E6">
      <w:pPr>
        <w:numPr>
          <w:ilvl w:val="0"/>
          <w:numId w:val="3"/>
        </w:numPr>
        <w:spacing w:after="0" w:afterAutospacing="0"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Бесплатная программа.</w:t>
      </w:r>
    </w:p>
    <w:p w:rsidR="00000000" w:rsidDel="00000000" w:rsidP="00000000" w:rsidRDefault="00000000" w:rsidRPr="00000000" w14:paraId="000000E7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Основной инструмент для работы и создания отчётов.</w:t>
      </w:r>
    </w:p>
    <w:p w:rsidR="00000000" w:rsidDel="00000000" w:rsidP="00000000" w:rsidRDefault="00000000" w:rsidRPr="00000000" w14:paraId="000000E8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Нужна для первоначальной разработки отчётов.</w:t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spacing w:after="20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Постоянно обновляется, нужно отслеживать обновления на сайте Microsoft.</w:t>
      </w:r>
    </w:p>
    <w:p w:rsidR="00000000" w:rsidDel="00000000" w:rsidP="00000000" w:rsidRDefault="00000000" w:rsidRPr="00000000" w14:paraId="000000EA">
      <w:pPr>
        <w:pStyle w:val="Heading2"/>
        <w:spacing w:after="200" w:before="200" w:lineRule="auto"/>
        <w:rPr>
          <w:rFonts w:ascii="IBM Plex Sans" w:cs="IBM Plex Sans" w:eastAsia="IBM Plex Sans" w:hAnsi="IBM Plex Sans"/>
          <w:b w:val="0"/>
          <w:sz w:val="32"/>
          <w:szCs w:val="32"/>
        </w:rPr>
      </w:pPr>
      <w:bookmarkStart w:colFirst="0" w:colLast="0" w:name="_heading=h.lnxbz9" w:id="11"/>
      <w:bookmarkEnd w:id="11"/>
      <w:r w:rsidDel="00000000" w:rsidR="00000000" w:rsidRPr="00000000">
        <w:rPr>
          <w:rFonts w:ascii="IBM Plex Sans" w:cs="IBM Plex Sans" w:eastAsia="IBM Plex Sans" w:hAnsi="IBM Plex Sans"/>
          <w:b w:val="0"/>
          <w:sz w:val="32"/>
          <w:szCs w:val="32"/>
          <w:rtl w:val="0"/>
        </w:rPr>
        <w:t xml:space="preserve">Power BI Pro</w:t>
      </w:r>
    </w:p>
    <w:p w:rsidR="00000000" w:rsidDel="00000000" w:rsidP="00000000" w:rsidRDefault="00000000" w:rsidRPr="00000000" w14:paraId="000000EB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Самый популярный инструмент для совместной разработки отчётов и для шеринга (</w:t>
      </w:r>
      <w:r w:rsidDel="00000000" w:rsidR="00000000" w:rsidRPr="00000000">
        <w:rPr>
          <w:rFonts w:ascii="IBM Plex Sans" w:cs="IBM Plex Sans" w:eastAsia="IBM Plex Sans" w:hAnsi="IBM Plex Sans"/>
          <w:color w:val="4d5156"/>
          <w:sz w:val="20"/>
          <w:szCs w:val="20"/>
          <w:highlight w:val="white"/>
          <w:rtl w:val="0"/>
        </w:rPr>
        <w:t xml:space="preserve">share — делиться).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EC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Power BI Pro:</w:t>
      </w:r>
    </w:p>
    <w:p w:rsidR="00000000" w:rsidDel="00000000" w:rsidP="00000000" w:rsidRDefault="00000000" w:rsidRPr="00000000" w14:paraId="000000ED">
      <w:pPr>
        <w:numPr>
          <w:ilvl w:val="0"/>
          <w:numId w:val="11"/>
        </w:numPr>
        <w:spacing w:after="0" w:afterAutospacing="0"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Облачный продукт.</w:t>
      </w:r>
    </w:p>
    <w:p w:rsidR="00000000" w:rsidDel="00000000" w:rsidP="00000000" w:rsidRDefault="00000000" w:rsidRPr="00000000" w14:paraId="000000EE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Продаётся по подписке.</w:t>
      </w:r>
    </w:p>
    <w:p w:rsidR="00000000" w:rsidDel="00000000" w:rsidP="00000000" w:rsidRDefault="00000000" w:rsidRPr="00000000" w14:paraId="000000EF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Стоит порядка 1000 рублей в месяц.</w:t>
      </w:r>
    </w:p>
    <w:p w:rsidR="00000000" w:rsidDel="00000000" w:rsidP="00000000" w:rsidRDefault="00000000" w:rsidRPr="00000000" w14:paraId="000000F0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Входит в Office 365 версии E5.</w:t>
      </w:r>
    </w:p>
    <w:p w:rsidR="00000000" w:rsidDel="00000000" w:rsidP="00000000" w:rsidRDefault="00000000" w:rsidRPr="00000000" w14:paraId="000000F1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Подходит для совместной разработки.</w:t>
      </w:r>
    </w:p>
    <w:p w:rsidR="00000000" w:rsidDel="00000000" w:rsidP="00000000" w:rsidRDefault="00000000" w:rsidRPr="00000000" w14:paraId="000000F2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Позволяет делиться отчётами. </w:t>
      </w:r>
    </w:p>
    <w:p w:rsidR="00000000" w:rsidDel="00000000" w:rsidP="00000000" w:rsidRDefault="00000000" w:rsidRPr="00000000" w14:paraId="000000F3">
      <w:pPr>
        <w:numPr>
          <w:ilvl w:val="0"/>
          <w:numId w:val="11"/>
        </w:numPr>
        <w:spacing w:after="20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Одной лицензии достаточно, чтобы делиться отчётом через прямую ссылку.</w:t>
      </w:r>
    </w:p>
    <w:p w:rsidR="00000000" w:rsidDel="00000000" w:rsidP="00000000" w:rsidRDefault="00000000" w:rsidRPr="00000000" w14:paraId="000000F4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Из сочетаний первых двух рассмотренных версий построено наибольшее количество решений на Power BI. </w:t>
      </w:r>
    </w:p>
    <w:p w:rsidR="00000000" w:rsidDel="00000000" w:rsidP="00000000" w:rsidRDefault="00000000" w:rsidRPr="00000000" w14:paraId="000000F5">
      <w:pPr>
        <w:pStyle w:val="Heading2"/>
        <w:spacing w:after="200" w:before="200" w:lineRule="auto"/>
        <w:rPr>
          <w:rFonts w:ascii="IBM Plex Sans" w:cs="IBM Plex Sans" w:eastAsia="IBM Plex Sans" w:hAnsi="IBM Plex Sans"/>
          <w:b w:val="0"/>
          <w:sz w:val="32"/>
          <w:szCs w:val="32"/>
        </w:rPr>
      </w:pPr>
      <w:bookmarkStart w:colFirst="0" w:colLast="0" w:name="_heading=h.k9ggxfa4ya8s" w:id="12"/>
      <w:bookmarkEnd w:id="12"/>
      <w:r w:rsidDel="00000000" w:rsidR="00000000" w:rsidRPr="00000000">
        <w:rPr>
          <w:rFonts w:ascii="IBM Plex Sans" w:cs="IBM Plex Sans" w:eastAsia="IBM Plex Sans" w:hAnsi="IBM Plex Sans"/>
          <w:b w:val="0"/>
          <w:sz w:val="32"/>
          <w:szCs w:val="32"/>
          <w:rtl w:val="0"/>
        </w:rPr>
        <w:br w:type="textWrapping"/>
        <w:t xml:space="preserve">Power BI Embedded</w:t>
      </w:r>
    </w:p>
    <w:p w:rsidR="00000000" w:rsidDel="00000000" w:rsidP="00000000" w:rsidRDefault="00000000" w:rsidRPr="00000000" w14:paraId="000000F6">
      <w:pPr>
        <w:numPr>
          <w:ilvl w:val="0"/>
          <w:numId w:val="6"/>
        </w:numPr>
        <w:spacing w:after="0" w:afterAutospacing="0"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Продаётся по подписке. </w:t>
      </w:r>
    </w:p>
    <w:p w:rsidR="00000000" w:rsidDel="00000000" w:rsidP="00000000" w:rsidRDefault="00000000" w:rsidRPr="00000000" w14:paraId="000000F7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Является приложением внутри облачного продукта Azure.</w:t>
      </w:r>
    </w:p>
    <w:p w:rsidR="00000000" w:rsidDel="00000000" w:rsidP="00000000" w:rsidRDefault="00000000" w:rsidRPr="00000000" w14:paraId="000000F8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Позволяет встроить целое приложение Power BI в портал или сайт.</w:t>
      </w:r>
    </w:p>
    <w:p w:rsidR="00000000" w:rsidDel="00000000" w:rsidP="00000000" w:rsidRDefault="00000000" w:rsidRPr="00000000" w14:paraId="000000F9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Даёт дополнительные возможности для веб-разработки поверх BI.</w:t>
      </w:r>
    </w:p>
    <w:p w:rsidR="00000000" w:rsidDel="00000000" w:rsidP="00000000" w:rsidRDefault="00000000" w:rsidRPr="00000000" w14:paraId="000000FA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Минимальная стоимость в год — порядка 500 000 рублей (300 действий с отчётами в час).</w:t>
      </w:r>
    </w:p>
    <w:p w:rsidR="00000000" w:rsidDel="00000000" w:rsidP="00000000" w:rsidRDefault="00000000" w:rsidRPr="00000000" w14:paraId="000000FB">
      <w:pPr>
        <w:numPr>
          <w:ilvl w:val="0"/>
          <w:numId w:val="6"/>
        </w:numPr>
        <w:spacing w:after="200" w:before="0" w:beforeAutospacing="0" w:line="360" w:lineRule="auto"/>
        <w:ind w:left="720" w:hanging="360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Стоимость зависит от плотности использования: платим за действие (в терминах Microsoft — «рефреш»).</w:t>
      </w:r>
    </w:p>
    <w:p w:rsidR="00000000" w:rsidDel="00000000" w:rsidP="00000000" w:rsidRDefault="00000000" w:rsidRPr="00000000" w14:paraId="000000FC">
      <w:pPr>
        <w:pStyle w:val="Heading2"/>
        <w:spacing w:after="200" w:before="200" w:lineRule="auto"/>
        <w:rPr>
          <w:rFonts w:ascii="IBM Plex Sans" w:cs="IBM Plex Sans" w:eastAsia="IBM Plex Sans" w:hAnsi="IBM Plex Sans"/>
          <w:b w:val="0"/>
          <w:color w:val="2c2d30"/>
          <w:sz w:val="20"/>
          <w:szCs w:val="20"/>
        </w:rPr>
      </w:pPr>
      <w:bookmarkStart w:colFirst="0" w:colLast="0" w:name="_heading=h.1ksv4uv" w:id="13"/>
      <w:bookmarkEnd w:id="13"/>
      <w:r w:rsidDel="00000000" w:rsidR="00000000" w:rsidRPr="00000000">
        <w:rPr>
          <w:rFonts w:ascii="IBM Plex Sans" w:cs="IBM Plex Sans" w:eastAsia="IBM Plex Sans" w:hAnsi="IBM Plex Sans"/>
          <w:b w:val="0"/>
          <w:sz w:val="32"/>
          <w:szCs w:val="32"/>
          <w:rtl w:val="0"/>
        </w:rPr>
        <w:t xml:space="preserve">Power BI Premium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10"/>
        </w:numPr>
        <w:spacing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Продаётся по подписке.</w:t>
      </w:r>
    </w:p>
    <w:p w:rsidR="00000000" w:rsidDel="00000000" w:rsidP="00000000" w:rsidRDefault="00000000" w:rsidRPr="00000000" w14:paraId="000000FE">
      <w:pPr>
        <w:numPr>
          <w:ilvl w:val="0"/>
          <w:numId w:val="10"/>
        </w:numPr>
        <w:spacing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Стоит порядка 5 000 $  в месяц.</w:t>
      </w:r>
    </w:p>
    <w:p w:rsidR="00000000" w:rsidDel="00000000" w:rsidP="00000000" w:rsidRDefault="00000000" w:rsidRPr="00000000" w14:paraId="000000FF">
      <w:pPr>
        <w:numPr>
          <w:ilvl w:val="0"/>
          <w:numId w:val="10"/>
        </w:numPr>
        <w:spacing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В дополнение к BI даёт дополнительные серверные мощности.</w:t>
      </w:r>
    </w:p>
    <w:p w:rsidR="00000000" w:rsidDel="00000000" w:rsidP="00000000" w:rsidRDefault="00000000" w:rsidRPr="00000000" w14:paraId="00000100">
      <w:pPr>
        <w:numPr>
          <w:ilvl w:val="0"/>
          <w:numId w:val="10"/>
        </w:numPr>
        <w:spacing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Подходит для Enterprise-компаний с высокой нагрузкой на BI-систему.</w:t>
      </w:r>
    </w:p>
    <w:p w:rsidR="00000000" w:rsidDel="00000000" w:rsidP="00000000" w:rsidRDefault="00000000" w:rsidRPr="00000000" w14:paraId="00000101">
      <w:pPr>
        <w:numPr>
          <w:ilvl w:val="0"/>
          <w:numId w:val="10"/>
        </w:numPr>
        <w:spacing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Передовой продукт Microsoft.</w:t>
      </w:r>
    </w:p>
    <w:p w:rsidR="00000000" w:rsidDel="00000000" w:rsidP="00000000" w:rsidRDefault="00000000" w:rsidRPr="00000000" w14:paraId="00000102">
      <w:pPr>
        <w:pStyle w:val="Heading2"/>
        <w:spacing w:after="200" w:before="200" w:lineRule="auto"/>
        <w:rPr>
          <w:rFonts w:ascii="IBM Plex Sans" w:cs="IBM Plex Sans" w:eastAsia="IBM Plex Sans" w:hAnsi="IBM Plex Sans"/>
          <w:b w:val="0"/>
          <w:color w:val="2c2d30"/>
          <w:sz w:val="20"/>
          <w:szCs w:val="20"/>
        </w:rPr>
      </w:pPr>
      <w:bookmarkStart w:colFirst="0" w:colLast="0" w:name="_heading=h.jssbzfwdudla" w:id="14"/>
      <w:bookmarkEnd w:id="14"/>
      <w:r w:rsidDel="00000000" w:rsidR="00000000" w:rsidRPr="00000000">
        <w:rPr>
          <w:rFonts w:ascii="IBM Plex Sans" w:cs="IBM Plex Sans" w:eastAsia="IBM Plex Sans" w:hAnsi="IBM Plex Sans"/>
          <w:b w:val="0"/>
          <w:sz w:val="32"/>
          <w:szCs w:val="32"/>
          <w:rtl w:val="0"/>
        </w:rPr>
        <w:t xml:space="preserve">Power BI On Premise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5"/>
        </w:numPr>
        <w:spacing w:after="0" w:after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Продаётся по подписке.</w:t>
      </w:r>
    </w:p>
    <w:p w:rsidR="00000000" w:rsidDel="00000000" w:rsidP="00000000" w:rsidRDefault="00000000" w:rsidRPr="00000000" w14:paraId="00000104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Не облачный продукт.</w:t>
      </w:r>
    </w:p>
    <w:p w:rsidR="00000000" w:rsidDel="00000000" w:rsidP="00000000" w:rsidRDefault="00000000" w:rsidRPr="00000000" w14:paraId="00000105">
      <w:pPr>
        <w:numPr>
          <w:ilvl w:val="0"/>
          <w:numId w:val="5"/>
        </w:numPr>
        <w:spacing w:after="20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Подходит для компаний, которые не хотят выкладывать данные в облако.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keepNext w:val="1"/>
        <w:keepLines w:val="1"/>
        <w:spacing w:after="120" w:before="400" w:lineRule="auto"/>
        <w:rPr>
          <w:rFonts w:ascii="IBM Plex Sans" w:cs="IBM Plex Sans" w:eastAsia="IBM Plex Sans" w:hAnsi="IBM Plex Sans"/>
          <w:b w:val="0"/>
          <w:sz w:val="36"/>
          <w:szCs w:val="36"/>
        </w:rPr>
      </w:pPr>
      <w:bookmarkStart w:colFirst="0" w:colLast="0" w:name="_heading=h.dtijl1k8dhtk" w:id="15"/>
      <w:bookmarkEnd w:id="15"/>
      <w:r w:rsidDel="00000000" w:rsidR="00000000" w:rsidRPr="00000000">
        <w:rPr>
          <w:rFonts w:ascii="IBM Plex Sans" w:cs="IBM Plex Sans" w:eastAsia="IBM Plex Sans" w:hAnsi="IBM Plex Sans"/>
          <w:b w:val="0"/>
          <w:sz w:val="36"/>
          <w:szCs w:val="36"/>
          <w:rtl w:val="0"/>
        </w:rPr>
        <w:t xml:space="preserve">Примеры архитектуры решений для разных версий</w:t>
      </w:r>
    </w:p>
    <w:p w:rsidR="00000000" w:rsidDel="00000000" w:rsidP="00000000" w:rsidRDefault="00000000" w:rsidRPr="00000000" w14:paraId="00000107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Архитектура решения — это схема, на которой видно, как данные поступают в BI-систему. Архитектура важна для случаев, когда данные мы берём из более, чем двух систем, и где есть 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нюансы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 с хранением, прокачкой и защитой данных - нужно определять способ обработки данных с учетом объема и прироста объема данных.</w:t>
      </w:r>
    </w:p>
    <w:p w:rsidR="00000000" w:rsidDel="00000000" w:rsidP="00000000" w:rsidRDefault="00000000" w:rsidRPr="00000000" w14:paraId="00000108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Первая архитектура — это архитектура решения по построению сквозной аналитики интернет-маркетинга:</w:t>
      </w:r>
    </w:p>
    <w:p w:rsidR="00000000" w:rsidDel="00000000" w:rsidP="00000000" w:rsidRDefault="00000000" w:rsidRPr="00000000" w14:paraId="00000109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</w:rPr>
        <w:drawing>
          <wp:inline distB="0" distT="0" distL="0" distR="0">
            <wp:extent cx="5731200" cy="3784600"/>
            <wp:effectExtent b="0" l="0" r="0" t="0"/>
            <wp:docPr id="1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3912" l="1920" r="2209" t="1159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Эту архитектуру нужно смотреть слева направо. В ней выделены три этапа работы с данными:</w:t>
      </w:r>
    </w:p>
    <w:p w:rsidR="00000000" w:rsidDel="00000000" w:rsidP="00000000" w:rsidRDefault="00000000" w:rsidRPr="00000000" w14:paraId="0000010B">
      <w:pPr>
        <w:numPr>
          <w:ilvl w:val="0"/>
          <w:numId w:val="13"/>
        </w:numPr>
        <w:spacing w:after="0" w:afterAutospacing="0" w:before="200" w:line="360" w:lineRule="auto"/>
        <w:ind w:left="720" w:hanging="360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Extract — левая часть, где перечислены различные системы. На этом этапе наша задача — начать собирать данные из каждой. Системы разделены на типы данных: внешние (прогноз погоды, курсы валют), внутренние (данные компании в CRM и ERP) и смешанные, когда данные видны и вашей компании и компании, предоставляющей софт (Google Analytics, кабинеты контекстной рекламы и прочее).</w:t>
      </w:r>
    </w:p>
    <w:p w:rsidR="00000000" w:rsidDel="00000000" w:rsidP="00000000" w:rsidRDefault="00000000" w:rsidRPr="00000000" w14:paraId="0000010C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Transform — этап преобразования данных. Они приводятся к единому формату и при необходимости объединяются в одну базу данных. Обрабатываются в облачном сервере Microsoft.</w:t>
      </w:r>
    </w:p>
    <w:p w:rsidR="00000000" w:rsidDel="00000000" w:rsidP="00000000" w:rsidRDefault="00000000" w:rsidRPr="00000000" w14:paraId="0000010D">
      <w:pPr>
        <w:numPr>
          <w:ilvl w:val="0"/>
          <w:numId w:val="13"/>
        </w:numPr>
        <w:spacing w:before="0" w:beforeAutospacing="0" w:line="360" w:lineRule="auto"/>
        <w:ind w:left="720" w:hanging="360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Load — загрузка готовых данных в BI. На  их основе создаются отчёты, а после — показываются разным категориям сотрудников через Power BI Pro.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Вторая архитектура — это решение на Power BI On Premise для анализа продаж:</w:t>
      </w:r>
    </w:p>
    <w:tbl>
      <w:tblPr>
        <w:tblStyle w:val="Table4"/>
        <w:tblW w:w="9630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815"/>
        <w:gridCol w:w="4815"/>
        <w:tblGridChange w:id="0">
          <w:tblGrid>
            <w:gridCol w:w="4815"/>
            <w:gridCol w:w="48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F">
            <w:pPr>
              <w:rPr>
                <w:rFonts w:ascii="IBM Plex Sans" w:cs="IBM Plex Sans" w:eastAsia="IBM Plex Sans" w:hAnsi="IBM Plex Sans"/>
                <w:color w:val="2c2d30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sz w:val="20"/>
                <w:szCs w:val="20"/>
              </w:rPr>
              <w:drawing>
                <wp:inline distB="0" distT="0" distL="0" distR="0">
                  <wp:extent cx="2845298" cy="5555073"/>
                  <wp:effectExtent b="0" l="0" r="0" t="0"/>
                  <wp:docPr id="12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298" cy="55550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after="200" w:before="200" w:line="360" w:lineRule="auto"/>
              <w:jc w:val="both"/>
              <w:rPr>
                <w:rFonts w:ascii="IBM Plex Sans" w:cs="IBM Plex Sans" w:eastAsia="IBM Plex Sans" w:hAnsi="IBM Plex Sans"/>
                <w:color w:val="2c2d30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sz w:val="20"/>
                <w:szCs w:val="20"/>
                <w:rtl w:val="0"/>
              </w:rPr>
              <w:t xml:space="preserve">У нас есть кластерный сервер, где хранятся исходные данные. </w:t>
            </w:r>
          </w:p>
          <w:p w:rsidR="00000000" w:rsidDel="00000000" w:rsidP="00000000" w:rsidRDefault="00000000" w:rsidRPr="00000000" w14:paraId="00000111">
            <w:pPr>
              <w:spacing w:after="200" w:before="200" w:line="360" w:lineRule="auto"/>
              <w:jc w:val="both"/>
              <w:rPr>
                <w:rFonts w:ascii="IBM Plex Sans" w:cs="IBM Plex Sans" w:eastAsia="IBM Plex Sans" w:hAnsi="IBM Plex Sans"/>
                <w:color w:val="2c2d30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sz w:val="20"/>
                <w:szCs w:val="20"/>
                <w:rtl w:val="0"/>
              </w:rPr>
              <w:t xml:space="preserve">Затем они поступают в виртуальный сервер, чтобы их можно было обработать и привести к единому виду. </w:t>
            </w:r>
          </w:p>
          <w:p w:rsidR="00000000" w:rsidDel="00000000" w:rsidP="00000000" w:rsidRDefault="00000000" w:rsidRPr="00000000" w14:paraId="00000112">
            <w:pPr>
              <w:spacing w:after="200" w:before="200" w:line="360" w:lineRule="auto"/>
              <w:jc w:val="both"/>
              <w:rPr>
                <w:rFonts w:ascii="IBM Plex Sans" w:cs="IBM Plex Sans" w:eastAsia="IBM Plex Sans" w:hAnsi="IBM Plex Sans"/>
                <w:color w:val="2c2d30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sz w:val="20"/>
                <w:szCs w:val="20"/>
                <w:rtl w:val="0"/>
              </w:rPr>
              <w:t xml:space="preserve">Затем — в Olap-кубы, где сегментируются на различные таблицы. Это нужно, чтобы не добавлять лишние данные в отчёты.</w:t>
            </w:r>
          </w:p>
          <w:p w:rsidR="00000000" w:rsidDel="00000000" w:rsidP="00000000" w:rsidRDefault="00000000" w:rsidRPr="00000000" w14:paraId="00000113">
            <w:pPr>
              <w:spacing w:after="200" w:before="200" w:line="360" w:lineRule="auto"/>
              <w:jc w:val="both"/>
              <w:rPr>
                <w:rFonts w:ascii="IBM Plex Sans" w:cs="IBM Plex Sans" w:eastAsia="IBM Plex Sans" w:hAnsi="IBM Plex Sans"/>
                <w:color w:val="2c2d30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sz w:val="20"/>
                <w:szCs w:val="20"/>
                <w:rtl w:val="0"/>
              </w:rPr>
              <w:t xml:space="preserve">Затем готовые данные поступают в Power BI On Prem. </w:t>
            </w:r>
          </w:p>
          <w:p w:rsidR="00000000" w:rsidDel="00000000" w:rsidP="00000000" w:rsidRDefault="00000000" w:rsidRPr="00000000" w14:paraId="00000114">
            <w:pPr>
              <w:spacing w:after="200" w:before="200" w:line="360" w:lineRule="auto"/>
              <w:jc w:val="both"/>
              <w:rPr>
                <w:rFonts w:ascii="IBM Plex Sans" w:cs="IBM Plex Sans" w:eastAsia="IBM Plex Sans" w:hAnsi="IBM Plex Sans"/>
                <w:color w:val="2c2d30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sz w:val="20"/>
                <w:szCs w:val="20"/>
                <w:rtl w:val="0"/>
              </w:rPr>
              <w:t xml:space="preserve">Важно! В этой архитектуре и в этой версии Power BI On Prem используется только в качестве визуализатора данных. Вся работа с данными происходит на этапе Olap-кубов.</w:t>
            </w:r>
          </w:p>
          <w:p w:rsidR="00000000" w:rsidDel="00000000" w:rsidP="00000000" w:rsidRDefault="00000000" w:rsidRPr="00000000" w14:paraId="00000115">
            <w:pPr>
              <w:spacing w:after="200" w:before="200" w:line="360" w:lineRule="auto"/>
              <w:jc w:val="both"/>
              <w:rPr>
                <w:rFonts w:ascii="IBM Plex Sans" w:cs="IBM Plex Sans" w:eastAsia="IBM Plex Sans" w:hAnsi="IBM Plex Sans"/>
                <w:color w:val="2c2d30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sz w:val="20"/>
                <w:szCs w:val="20"/>
                <w:rtl w:val="0"/>
              </w:rPr>
              <w:t xml:space="preserve">В конце отчёты выкладываются на корпоративный портал и с ограничением от контроля домена могут быть показаны разным сотрудникам.</w:t>
            </w:r>
          </w:p>
        </w:tc>
      </w:tr>
    </w:tbl>
    <w:p w:rsidR="00000000" w:rsidDel="00000000" w:rsidP="00000000" w:rsidRDefault="00000000" w:rsidRPr="00000000" w14:paraId="00000116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Третья архитектура — это архитектура бэкенда по обработке данных из многих систем:</w:t>
      </w:r>
    </w:p>
    <w:p w:rsidR="00000000" w:rsidDel="00000000" w:rsidP="00000000" w:rsidRDefault="00000000" w:rsidRPr="00000000" w14:paraId="00000118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</w:rPr>
        <w:drawing>
          <wp:inline distB="0" distT="0" distL="0" distR="0">
            <wp:extent cx="5731200" cy="3162300"/>
            <wp:effectExtent b="0" l="0" r="0" t="0"/>
            <wp:docPr id="13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Она описывает сложный процесс сбора, обработки и хранения данных из различных корпоративных систем. В первую очередь будет нужна команде разработки баз данных и предшествует работе команды BI. </w:t>
      </w:r>
    </w:p>
    <w:p w:rsidR="00000000" w:rsidDel="00000000" w:rsidP="00000000" w:rsidRDefault="00000000" w:rsidRPr="00000000" w14:paraId="0000011A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Ценность архитектуры для нас в том, что мы можем понять, какие есть серверы и как они называются. Это нужно, чтобы мы могли забирать правильные данные из правильных систем. Например, если у нас задача забрать данные из SQL-сервера Omega (база данных HR-подразделения), то в Power BI мы будем искать сервер под названием BI05, так как именно туда поступают данные из Omega.</w:t>
      </w:r>
    </w:p>
    <w:p w:rsidR="00000000" w:rsidDel="00000000" w:rsidP="00000000" w:rsidRDefault="00000000" w:rsidRPr="00000000" w14:paraId="0000011B">
      <w:pPr>
        <w:rPr>
          <w:rFonts w:ascii="IBM Plex Sans" w:cs="IBM Plex Sans" w:eastAsia="IBM Plex Sans" w:hAnsi="IBM Plex Sans"/>
        </w:rPr>
      </w:pPr>
      <w:bookmarkStart w:colFirst="0" w:colLast="0" w:name="_heading=h.3znysh7" w:id="8"/>
      <w:bookmarkEnd w:id="8"/>
      <w:r w:rsidDel="00000000" w:rsidR="00000000" w:rsidRPr="00000000">
        <w:rPr>
          <w:rFonts w:ascii="IBM Plex Sans" w:cs="IBM Plex Sans" w:eastAsia="IBM Plex Sans" w:hAnsi="IBM Plex Sans"/>
          <w:sz w:val="44"/>
          <w:szCs w:val="44"/>
          <w:rtl w:val="0"/>
        </w:rPr>
        <w:t xml:space="preserve">Следующие этапы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Следующие этапы работы с отчетом мы будем подробнее проходить на следюущих лекциях и семинарах, а сегодня познакомимся с базовым описанием этих процессов.</w:t>
      </w:r>
    </w:p>
    <w:p w:rsidR="00000000" w:rsidDel="00000000" w:rsidP="00000000" w:rsidRDefault="00000000" w:rsidRPr="00000000" w14:paraId="0000011D">
      <w:pPr>
        <w:numPr>
          <w:ilvl w:val="0"/>
          <w:numId w:val="7"/>
        </w:numPr>
        <w:spacing w:after="200" w:before="200" w:line="360" w:lineRule="auto"/>
        <w:ind w:left="720" w:hanging="360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Загрузить данные можно по готовому коннектеру или напрямую, основные источники данных - это:</w:t>
      </w:r>
    </w:p>
    <w:p w:rsidR="00000000" w:rsidDel="00000000" w:rsidP="00000000" w:rsidRDefault="00000000" w:rsidRPr="00000000" w14:paraId="0000011E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</w:rPr>
        <w:drawing>
          <wp:inline distB="19050" distT="19050" distL="19050" distR="19050">
            <wp:extent cx="5344790" cy="3329800"/>
            <wp:effectExtent b="0" l="0" r="0" t="0"/>
            <wp:docPr id="1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4790" cy="332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7"/>
        </w:numPr>
        <w:spacing w:after="0" w:afterAutospacing="0" w:before="200" w:line="360" w:lineRule="auto"/>
        <w:ind w:left="720" w:hanging="360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Одна из самый важных вещей, которые делаем BI - это преобразование данных, например преобразование из не таблицы в таблицу</w:t>
      </w:r>
    </w:p>
    <w:p w:rsidR="00000000" w:rsidDel="00000000" w:rsidP="00000000" w:rsidRDefault="00000000" w:rsidRPr="00000000" w14:paraId="00000120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После подготовки данных, нам необходимо сделать математические разчеты, в Power BI, например мы это будем делать в DAX</w:t>
      </w:r>
    </w:p>
    <w:p w:rsidR="00000000" w:rsidDel="00000000" w:rsidP="00000000" w:rsidRDefault="00000000" w:rsidRPr="00000000" w14:paraId="00000121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После того, как данные готовы, нам нужно их визуализировать, в Power BI за это отвечает Power View</w:t>
      </w:r>
    </w:p>
    <w:p w:rsidR="00000000" w:rsidDel="00000000" w:rsidP="00000000" w:rsidRDefault="00000000" w:rsidRPr="00000000" w14:paraId="00000122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Когда мы создали набор из визуальных элементов, нам нужно объединить их в полноценные отчеты и наборы отчетов</w:t>
      </w:r>
    </w:p>
    <w:p w:rsidR="00000000" w:rsidDel="00000000" w:rsidP="00000000" w:rsidRDefault="00000000" w:rsidRPr="00000000" w14:paraId="00000123">
      <w:pPr>
        <w:numPr>
          <w:ilvl w:val="0"/>
          <w:numId w:val="7"/>
        </w:numPr>
        <w:spacing w:after="200" w:before="0" w:beforeAutospacing="0" w:line="360" w:lineRule="auto"/>
        <w:ind w:left="720" w:hanging="360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После того, как отчет готов, нам нужно внедрить его в корпоративные системы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1"/>
        <w:keepNext w:val="1"/>
        <w:keepLines w:val="1"/>
        <w:spacing w:after="120" w:before="200" w:lineRule="auto"/>
        <w:rPr>
          <w:rFonts w:ascii="IBM Plex Sans" w:cs="IBM Plex Sans" w:eastAsia="IBM Plex Sans" w:hAnsi="IBM Plex Sans"/>
          <w:b w:val="0"/>
        </w:rPr>
      </w:pPr>
      <w:bookmarkStart w:colFirst="0" w:colLast="0" w:name="_heading=h.2jxsxqh" w:id="16"/>
      <w:bookmarkEnd w:id="16"/>
      <w:r w:rsidDel="00000000" w:rsidR="00000000" w:rsidRPr="00000000">
        <w:rPr>
          <w:rFonts w:ascii="IBM Plex Sans" w:cs="IBM Plex Sans" w:eastAsia="IBM Plex Sans" w:hAnsi="IBM Plex Sans"/>
          <w:b w:val="0"/>
          <w:sz w:val="36"/>
          <w:szCs w:val="36"/>
          <w:rtl w:val="0"/>
        </w:rPr>
        <w:t xml:space="preserve">Дополнительные материалы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9"/>
        </w:numPr>
        <w:spacing w:after="0" w:afterAutospacing="0"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hyperlink r:id="rId26">
        <w:r w:rsidDel="00000000" w:rsidR="00000000" w:rsidRPr="00000000">
          <w:rPr>
            <w:rFonts w:ascii="IBM Plex Sans" w:cs="IBM Plex Sans" w:eastAsia="IBM Plex Sans" w:hAnsi="IBM Plex Sans"/>
            <w:color w:val="1155cc"/>
            <w:sz w:val="20"/>
            <w:szCs w:val="20"/>
            <w:u w:val="single"/>
            <w:rtl w:val="0"/>
          </w:rPr>
          <w:t xml:space="preserve">Что такое BI и зачем это нужно вашему бизнесу.</w:t>
        </w:r>
      </w:hyperlink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26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hyperlink r:id="rId27">
        <w:r w:rsidDel="00000000" w:rsidR="00000000" w:rsidRPr="00000000">
          <w:rPr>
            <w:rFonts w:ascii="IBM Plex Sans" w:cs="IBM Plex Sans" w:eastAsia="IBM Plex Sans" w:hAnsi="IBM Plex Sans"/>
            <w:color w:val="1155cc"/>
            <w:sz w:val="20"/>
            <w:szCs w:val="20"/>
            <w:u w:val="single"/>
            <w:rtl w:val="0"/>
          </w:rPr>
          <w:t xml:space="preserve">Что такое Business Intelligence.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hyperlink r:id="rId28">
        <w:r w:rsidDel="00000000" w:rsidR="00000000" w:rsidRPr="00000000">
          <w:rPr>
            <w:rFonts w:ascii="IBM Plex Sans" w:cs="IBM Plex Sans" w:eastAsia="IBM Plex Sans" w:hAnsi="IBM Plex Sans"/>
            <w:color w:val="1155cc"/>
            <w:sz w:val="20"/>
            <w:szCs w:val="20"/>
            <w:u w:val="single"/>
            <w:rtl w:val="0"/>
          </w:rPr>
          <w:t xml:space="preserve">6 этапов грамотного внедрения BI-системы.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9"/>
        </w:numPr>
        <w:spacing w:after="200" w:before="0" w:beforeAutospacing="0"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hyperlink r:id="rId29">
        <w:r w:rsidDel="00000000" w:rsidR="00000000" w:rsidRPr="00000000">
          <w:rPr>
            <w:rFonts w:ascii="IBM Plex Sans" w:cs="IBM Plex Sans" w:eastAsia="IBM Plex Sans" w:hAnsi="IBM Plex Sans"/>
            <w:color w:val="1155cc"/>
            <w:sz w:val="20"/>
            <w:szCs w:val="20"/>
            <w:u w:val="single"/>
            <w:rtl w:val="0"/>
          </w:rPr>
          <w:t xml:space="preserve">Tableau от чайника или визуализация анализа ПАММ счетов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Лидеры на рынке BI-систем:</w:t>
      </w:r>
    </w:p>
    <w:p w:rsidR="00000000" w:rsidDel="00000000" w:rsidP="00000000" w:rsidRDefault="00000000" w:rsidRPr="00000000" w14:paraId="0000012A">
      <w:pPr>
        <w:numPr>
          <w:ilvl w:val="0"/>
          <w:numId w:val="17"/>
        </w:numPr>
        <w:spacing w:after="0" w:afterAutospacing="0"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hyperlink r:id="rId30">
        <w:r w:rsidDel="00000000" w:rsidR="00000000" w:rsidRPr="00000000">
          <w:rPr>
            <w:rFonts w:ascii="IBM Plex Sans" w:cs="IBM Plex Sans" w:eastAsia="IBM Plex Sans" w:hAnsi="IBM Plex Sans"/>
            <w:color w:val="1155cc"/>
            <w:sz w:val="20"/>
            <w:szCs w:val="20"/>
            <w:u w:val="single"/>
            <w:rtl w:val="0"/>
          </w:rPr>
          <w:t xml:space="preserve">Microsoft Power BI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17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hyperlink r:id="rId31">
        <w:r w:rsidDel="00000000" w:rsidR="00000000" w:rsidRPr="00000000">
          <w:rPr>
            <w:rFonts w:ascii="IBM Plex Sans" w:cs="IBM Plex Sans" w:eastAsia="IBM Plex Sans" w:hAnsi="IBM Plex Sans"/>
            <w:color w:val="1155cc"/>
            <w:sz w:val="20"/>
            <w:szCs w:val="20"/>
            <w:u w:val="single"/>
            <w:rtl w:val="0"/>
          </w:rPr>
          <w:t xml:space="preserve">Qlik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17"/>
        </w:numPr>
        <w:spacing w:after="20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hyperlink r:id="rId32">
        <w:r w:rsidDel="00000000" w:rsidR="00000000" w:rsidRPr="00000000">
          <w:rPr>
            <w:rFonts w:ascii="IBM Plex Sans" w:cs="IBM Plex Sans" w:eastAsia="IBM Plex Sans" w:hAnsi="IBM Plex Sans"/>
            <w:color w:val="1155cc"/>
            <w:sz w:val="20"/>
            <w:szCs w:val="20"/>
            <w:u w:val="single"/>
            <w:rtl w:val="0"/>
          </w:rPr>
          <w:t xml:space="preserve">Tableau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Книга по логике построения диаграмм:</w:t>
      </w:r>
    </w:p>
    <w:p w:rsidR="00000000" w:rsidDel="00000000" w:rsidP="00000000" w:rsidRDefault="00000000" w:rsidRPr="00000000" w14:paraId="0000012E">
      <w:pPr>
        <w:numPr>
          <w:ilvl w:val="0"/>
          <w:numId w:val="18"/>
        </w:numPr>
        <w:spacing w:after="200"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hyperlink r:id="rId33">
        <w:r w:rsidDel="00000000" w:rsidR="00000000" w:rsidRPr="00000000">
          <w:rPr>
            <w:rFonts w:ascii="IBM Plex Sans" w:cs="IBM Plex Sans" w:eastAsia="IBM Plex Sans" w:hAnsi="IBM Plex Sans"/>
            <w:color w:val="1155cc"/>
            <w:sz w:val="20"/>
            <w:szCs w:val="20"/>
            <w:u w:val="single"/>
            <w:rtl w:val="0"/>
          </w:rPr>
          <w:t xml:space="preserve">Джин Желязны. Говори на языке диаграмм: пособие по визуальным коммуникациям.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1"/>
        <w:keepNext w:val="1"/>
        <w:keepLines w:val="1"/>
        <w:spacing w:after="120" w:before="200" w:lineRule="auto"/>
        <w:rPr>
          <w:rFonts w:ascii="IBM Plex Sans" w:cs="IBM Plex Sans" w:eastAsia="IBM Plex Sans" w:hAnsi="IBM Plex Sans"/>
          <w:b w:val="0"/>
          <w:sz w:val="36"/>
          <w:szCs w:val="36"/>
        </w:rPr>
      </w:pPr>
      <w:bookmarkStart w:colFirst="0" w:colLast="0" w:name="_heading=h.tgip013rhy" w:id="17"/>
      <w:bookmarkEnd w:id="17"/>
      <w:r w:rsidDel="00000000" w:rsidR="00000000" w:rsidRPr="00000000">
        <w:rPr>
          <w:rFonts w:ascii="IBM Plex Sans" w:cs="IBM Plex Sans" w:eastAsia="IBM Plex Sans" w:hAnsi="IBM Plex Sans"/>
          <w:b w:val="0"/>
          <w:sz w:val="36"/>
          <w:szCs w:val="36"/>
          <w:rtl w:val="0"/>
        </w:rPr>
        <w:t xml:space="preserve">Домашнее задание</w:t>
      </w:r>
    </w:p>
    <w:p w:rsidR="00000000" w:rsidDel="00000000" w:rsidP="00000000" w:rsidRDefault="00000000" w:rsidRPr="00000000" w14:paraId="00000130">
      <w:pPr>
        <w:spacing w:after="200" w:before="200" w:line="360" w:lineRule="auto"/>
        <w:ind w:left="0" w:firstLine="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Ссылка для скачивания </w:t>
      </w:r>
      <w:hyperlink r:id="rId34">
        <w:r w:rsidDel="00000000" w:rsidR="00000000" w:rsidRPr="00000000">
          <w:rPr>
            <w:rFonts w:ascii="IBM Plex Sans" w:cs="IBM Plex Sans" w:eastAsia="IBM Plex Sans" w:hAnsi="IBM Plex Sans"/>
            <w:color w:val="1155cc"/>
            <w:sz w:val="20"/>
            <w:szCs w:val="20"/>
            <w:u w:val="single"/>
            <w:rtl w:val="0"/>
          </w:rPr>
          <w:t xml:space="preserve">Power BI Desktop</w:t>
        </w:r>
      </w:hyperlink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76" w:lineRule="auto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76" w:lineRule="auto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sectPr>
      <w:headerReference r:id="rId35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5"/>
      <w:tblW w:w="9345.0" w:type="dxa"/>
      <w:jc w:val="left"/>
      <w:tblInd w:w="-108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672"/>
      <w:gridCol w:w="4673"/>
      <w:tblGridChange w:id="0">
        <w:tblGrid>
          <w:gridCol w:w="4672"/>
          <w:gridCol w:w="4673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3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77"/>
              <w:tab w:val="right" w:pos="9355"/>
            </w:tabs>
            <w:spacing w:after="0" w:before="120" w:line="240" w:lineRule="auto"/>
            <w:ind w:left="0" w:right="0" w:firstLine="0"/>
            <w:jc w:val="left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d9d9d9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IBM Plex Sans" w:cs="IBM Plex Sans" w:eastAsia="IBM Plex Sans" w:hAnsi="IBM Plex Sans"/>
              <w:color w:val="d9d9d9"/>
              <w:rtl w:val="0"/>
            </w:rPr>
            <w:t xml:space="preserve">Из каких этапов состоит создание отчета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3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77"/>
              <w:tab w:val="right" w:pos="9355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0" distR="0">
                <wp:extent cx="291600" cy="291600"/>
                <wp:effectExtent b="0" l="0" r="0" t="0"/>
                <wp:docPr id="13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600" cy="291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3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/>
    </w:lvl>
    <w:lvl w:ilvl="1">
      <w:start w:val="1"/>
      <w:numFmt w:val="bullet"/>
      <w:lvlText w:val="○"/>
      <w:lvlJc w:val="left"/>
      <w:pPr>
        <w:ind w:left="1440" w:hanging="360"/>
      </w:pPr>
      <w:rPr/>
    </w:lvl>
    <w:lvl w:ilvl="2">
      <w:start w:val="1"/>
      <w:numFmt w:val="bullet"/>
      <w:lvlText w:val="■"/>
      <w:lvlJc w:val="left"/>
      <w:pPr>
        <w:ind w:left="2160" w:hanging="180"/>
      </w:pPr>
      <w:rPr/>
    </w:lvl>
    <w:lvl w:ilvl="3">
      <w:start w:val="1"/>
      <w:numFmt w:val="bullet"/>
      <w:lvlText w:val="●"/>
      <w:lvlJc w:val="left"/>
      <w:pPr>
        <w:ind w:left="2880" w:hanging="360"/>
      </w:pPr>
      <w:rPr/>
    </w:lvl>
    <w:lvl w:ilvl="4">
      <w:start w:val="1"/>
      <w:numFmt w:val="bullet"/>
      <w:lvlText w:val="○"/>
      <w:lvlJc w:val="left"/>
      <w:pPr>
        <w:ind w:left="3600" w:hanging="360"/>
      </w:pPr>
      <w:rPr/>
    </w:lvl>
    <w:lvl w:ilvl="5">
      <w:start w:val="1"/>
      <w:numFmt w:val="bullet"/>
      <w:lvlText w:val="■"/>
      <w:lvlJc w:val="left"/>
      <w:pPr>
        <w:ind w:left="4320" w:hanging="180"/>
      </w:pPr>
      <w:rPr/>
    </w:lvl>
    <w:lvl w:ilvl="6">
      <w:start w:val="1"/>
      <w:numFmt w:val="bullet"/>
      <w:lvlText w:val="●"/>
      <w:lvlJc w:val="left"/>
      <w:pPr>
        <w:ind w:left="5040" w:hanging="360"/>
      </w:pPr>
      <w:rPr/>
    </w:lvl>
    <w:lvl w:ilvl="7">
      <w:start w:val="1"/>
      <w:numFmt w:val="bullet"/>
      <w:lvlText w:val="○"/>
      <w:lvlJc w:val="left"/>
      <w:pPr>
        <w:ind w:left="5760" w:hanging="360"/>
      </w:pPr>
      <w:rPr/>
    </w:lvl>
    <w:lvl w:ilvl="8">
      <w:start w:val="1"/>
      <w:numFmt w:val="bullet"/>
      <w:lvlText w:val="■"/>
      <w:lvlJc w:val="left"/>
      <w:pPr>
        <w:ind w:left="6480" w:hanging="18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link w:val="10"/>
    <w:uiPriority w:val="9"/>
    <w:qFormat w:val="1"/>
    <w:rsid w:val="00416702"/>
    <w:pPr>
      <w:spacing w:after="100" w:afterAutospacing="1" w:before="100" w:beforeAutospacing="1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a4"/>
    <w:uiPriority w:val="99"/>
    <w:unhideWhenUsed w:val="1"/>
    <w:rsid w:val="008717E5"/>
    <w:pPr>
      <w:tabs>
        <w:tab w:val="center" w:pos="4677"/>
        <w:tab w:val="right" w:pos="9355"/>
      </w:tabs>
    </w:pPr>
  </w:style>
  <w:style w:type="character" w:styleId="a4" w:customStyle="1">
    <w:name w:val="Верхний колонтитул Знак"/>
    <w:basedOn w:val="a0"/>
    <w:link w:val="a3"/>
    <w:uiPriority w:val="99"/>
    <w:rsid w:val="008717E5"/>
  </w:style>
  <w:style w:type="paragraph" w:styleId="a5">
    <w:name w:val="footer"/>
    <w:basedOn w:val="a"/>
    <w:link w:val="a6"/>
    <w:uiPriority w:val="99"/>
    <w:unhideWhenUsed w:val="1"/>
    <w:rsid w:val="008717E5"/>
    <w:pPr>
      <w:tabs>
        <w:tab w:val="center" w:pos="4677"/>
        <w:tab w:val="right" w:pos="9355"/>
      </w:tabs>
    </w:pPr>
  </w:style>
  <w:style w:type="character" w:styleId="a6" w:customStyle="1">
    <w:name w:val="Нижний колонтитул Знак"/>
    <w:basedOn w:val="a0"/>
    <w:link w:val="a5"/>
    <w:uiPriority w:val="99"/>
    <w:rsid w:val="008717E5"/>
  </w:style>
  <w:style w:type="paragraph" w:styleId="a7">
    <w:name w:val="List Paragraph"/>
    <w:basedOn w:val="a"/>
    <w:uiPriority w:val="34"/>
    <w:qFormat w:val="1"/>
    <w:rsid w:val="00125FD9"/>
    <w:pPr>
      <w:spacing w:line="276" w:lineRule="auto"/>
      <w:ind w:left="720"/>
      <w:contextualSpacing w:val="1"/>
    </w:pPr>
    <w:rPr>
      <w:rFonts w:ascii="Arial" w:cs="Arial" w:eastAsia="Arial" w:hAnsi="Arial"/>
      <w:sz w:val="22"/>
      <w:szCs w:val="22"/>
      <w:lang w:eastAsia="ru-RU" w:val="ru"/>
    </w:rPr>
  </w:style>
  <w:style w:type="table" w:styleId="a8">
    <w:name w:val="Table Grid"/>
    <w:basedOn w:val="a1"/>
    <w:uiPriority w:val="39"/>
    <w:rsid w:val="002C705D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10" w:customStyle="1">
    <w:name w:val="Заголовок 1 Знак"/>
    <w:basedOn w:val="a0"/>
    <w:link w:val="1"/>
    <w:uiPriority w:val="9"/>
    <w:rsid w:val="00416702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character" w:styleId="emoji" w:customStyle="1">
    <w:name w:val="emoji"/>
    <w:basedOn w:val="a0"/>
    <w:rsid w:val="00416702"/>
  </w:style>
  <w:style w:type="paragraph" w:styleId="a9">
    <w:name w:val="Normal (Web)"/>
    <w:basedOn w:val="a"/>
    <w:uiPriority w:val="99"/>
    <w:semiHidden w:val="1"/>
    <w:unhideWhenUsed w:val="1"/>
    <w:rsid w:val="00A35BE9"/>
    <w:pPr>
      <w:spacing w:after="100" w:afterAutospacing="1" w:before="100" w:beforeAutospacing="1"/>
    </w:pPr>
    <w:rPr>
      <w:rFonts w:ascii="Times New Roman" w:cs="Times New Roman" w:eastAsia="Times New Roman" w:hAnsi="Times New Roman"/>
      <w:lang w:eastAsia="ru-RU"/>
    </w:rPr>
  </w:style>
  <w:style w:type="paragraph" w:styleId="aa">
    <w:name w:val="TOC Heading"/>
    <w:basedOn w:val="1"/>
    <w:next w:val="a"/>
    <w:uiPriority w:val="39"/>
    <w:unhideWhenUsed w:val="1"/>
    <w:qFormat w:val="1"/>
    <w:rsid w:val="00A35BE9"/>
    <w:pPr>
      <w:keepNext w:val="1"/>
      <w:keepLines w:val="1"/>
      <w:spacing w:after="0" w:afterAutospacing="0" w:before="480" w:beforeAutospacing="0" w:line="276" w:lineRule="auto"/>
      <w:outlineLvl w:val="9"/>
    </w:pPr>
    <w:rPr>
      <w:rFonts w:asciiTheme="majorHAnsi" w:cstheme="majorBidi" w:eastAsiaTheme="majorEastAsia" w:hAnsiTheme="majorHAnsi"/>
      <w:color w:val="2f5496" w:themeColor="accent1" w:themeShade="0000BF"/>
      <w:kern w:val="0"/>
      <w:sz w:val="28"/>
      <w:szCs w:val="28"/>
    </w:rPr>
  </w:style>
  <w:style w:type="paragraph" w:styleId="11">
    <w:name w:val="toc 1"/>
    <w:basedOn w:val="a"/>
    <w:next w:val="a"/>
    <w:autoRedefine w:val="1"/>
    <w:uiPriority w:val="39"/>
    <w:unhideWhenUsed w:val="1"/>
    <w:rsid w:val="00A35BE9"/>
    <w:pPr>
      <w:spacing w:before="120"/>
    </w:pPr>
    <w:rPr>
      <w:rFonts w:cstheme="minorHAnsi"/>
      <w:b w:val="1"/>
      <w:bCs w:val="1"/>
      <w:i w:val="1"/>
      <w:iCs w:val="1"/>
    </w:rPr>
  </w:style>
  <w:style w:type="character" w:styleId="ab">
    <w:name w:val="Hyperlink"/>
    <w:basedOn w:val="a0"/>
    <w:uiPriority w:val="99"/>
    <w:unhideWhenUsed w:val="1"/>
    <w:rsid w:val="00A35BE9"/>
    <w:rPr>
      <w:color w:val="0563c1" w:themeColor="hyperlink"/>
      <w:u w:val="single"/>
    </w:rPr>
  </w:style>
  <w:style w:type="paragraph" w:styleId="2">
    <w:name w:val="toc 2"/>
    <w:basedOn w:val="a"/>
    <w:next w:val="a"/>
    <w:autoRedefine w:val="1"/>
    <w:uiPriority w:val="39"/>
    <w:semiHidden w:val="1"/>
    <w:unhideWhenUsed w:val="1"/>
    <w:rsid w:val="00A35BE9"/>
    <w:pPr>
      <w:spacing w:before="120"/>
      <w:ind w:left="240"/>
    </w:pPr>
    <w:rPr>
      <w:rFonts w:cstheme="minorHAnsi"/>
      <w:b w:val="1"/>
      <w:bCs w:val="1"/>
      <w:sz w:val="22"/>
      <w:szCs w:val="22"/>
    </w:rPr>
  </w:style>
  <w:style w:type="paragraph" w:styleId="3">
    <w:name w:val="toc 3"/>
    <w:basedOn w:val="a"/>
    <w:next w:val="a"/>
    <w:autoRedefine w:val="1"/>
    <w:uiPriority w:val="39"/>
    <w:semiHidden w:val="1"/>
    <w:unhideWhenUsed w:val="1"/>
    <w:rsid w:val="00A35BE9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 w:val="1"/>
    <w:uiPriority w:val="39"/>
    <w:semiHidden w:val="1"/>
    <w:unhideWhenUsed w:val="1"/>
    <w:rsid w:val="00A35BE9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 w:val="1"/>
    <w:uiPriority w:val="39"/>
    <w:semiHidden w:val="1"/>
    <w:unhideWhenUsed w:val="1"/>
    <w:rsid w:val="00A35BE9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 w:val="1"/>
    <w:uiPriority w:val="39"/>
    <w:semiHidden w:val="1"/>
    <w:unhideWhenUsed w:val="1"/>
    <w:rsid w:val="00A35BE9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 w:val="1"/>
    <w:uiPriority w:val="39"/>
    <w:semiHidden w:val="1"/>
    <w:unhideWhenUsed w:val="1"/>
    <w:rsid w:val="00A35BE9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 w:val="1"/>
    <w:uiPriority w:val="39"/>
    <w:semiHidden w:val="1"/>
    <w:unhideWhenUsed w:val="1"/>
    <w:rsid w:val="00A35BE9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 w:val="1"/>
    <w:uiPriority w:val="39"/>
    <w:semiHidden w:val="1"/>
    <w:unhideWhenUsed w:val="1"/>
    <w:rsid w:val="00A35BE9"/>
    <w:pPr>
      <w:ind w:left="1920"/>
    </w:pPr>
    <w:rPr>
      <w:rFonts w:cstheme="minorHAnsi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/>
    <w:rPr>
      <w:rFonts w:ascii="Calibri" w:cs="Calibri" w:eastAsia="Calibri" w:hAnsi="Calibri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pPr/>
      <w:rPr>
        <w:b w:val="0"/>
        <w:i w:val="0"/>
      </w:rPr>
      <w:tcPr/>
    </w:tblStylePr>
    <w:tblStylePr w:type="band1Vert">
      <w:pPr/>
      <w:rPr>
        <w:b w:val="0"/>
        <w:i w:val="0"/>
      </w:rPr>
      <w:tcPr/>
    </w:tblStylePr>
    <w:tblStylePr w:type="band2Horz">
      <w:pPr/>
      <w:rPr>
        <w:b w:val="0"/>
        <w:i w:val="0"/>
      </w:rPr>
      <w:tcPr/>
    </w:tblStylePr>
    <w:tblStylePr w:type="band2Vert">
      <w:pPr/>
      <w:rPr>
        <w:b w:val="0"/>
        <w:i w:val="0"/>
      </w:rPr>
      <w:tcPr/>
    </w:tblStylePr>
    <w:tblStylePr w:type="firstCol">
      <w:pPr/>
      <w:rPr>
        <w:b w:val="0"/>
        <w:i w:val="0"/>
      </w:rPr>
      <w:tcPr/>
    </w:tblStylePr>
    <w:tblStylePr w:type="firstRow">
      <w:pPr/>
      <w:rPr>
        <w:b w:val="0"/>
        <w:i w:val="0"/>
      </w:rPr>
      <w:tcPr/>
    </w:tblStylePr>
    <w:tblStylePr w:type="lastCol">
      <w:pPr/>
      <w:rPr>
        <w:b w:val="0"/>
        <w:i w:val="0"/>
      </w:rPr>
      <w:tcPr/>
    </w:tblStylePr>
    <w:tblStylePr w:type="lastRow">
      <w:pPr/>
      <w:rPr>
        <w:b w:val="0"/>
        <w:i w:val="0"/>
      </w:rPr>
      <w:tcPr/>
    </w:tblStylePr>
    <w:tblStylePr w:type="neCell">
      <w:pPr/>
      <w:rPr>
        <w:b w:val="0"/>
        <w:i w:val="0"/>
      </w:rPr>
      <w:tcPr/>
    </w:tblStylePr>
    <w:tblStylePr w:type="nwCell">
      <w:pPr/>
      <w:rPr>
        <w:b w:val="0"/>
        <w:i w:val="0"/>
      </w:rPr>
      <w:tcPr/>
    </w:tblStylePr>
    <w:tblStylePr w:type="seCell">
      <w:pPr/>
      <w:rPr>
        <w:b w:val="0"/>
        <w:i w:val="0"/>
      </w:rPr>
      <w:tcPr/>
    </w:tblStylePr>
    <w:tblStylePr w:type="swCell">
      <w:pPr/>
      <w:rPr>
        <w:b w:val="0"/>
        <w:i w:val="0"/>
      </w:rPr>
      <w:tcPr/>
    </w:tblStylePr>
  </w:style>
  <w:style w:type="table" w:styleId="Table3">
    <w:basedOn w:val="TableNormal"/>
    <w:pPr/>
    <w:rPr>
      <w:rFonts w:ascii="Calibri" w:cs="Calibri" w:eastAsia="Calibri" w:hAnsi="Calibri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pPr/>
      <w:rPr>
        <w:b w:val="0"/>
        <w:i w:val="0"/>
      </w:rPr>
      <w:tcPr/>
    </w:tblStylePr>
    <w:tblStylePr w:type="band1Vert">
      <w:pPr/>
      <w:rPr>
        <w:b w:val="0"/>
        <w:i w:val="0"/>
      </w:rPr>
      <w:tcPr/>
    </w:tblStylePr>
    <w:tblStylePr w:type="band2Horz">
      <w:pPr/>
      <w:rPr>
        <w:b w:val="0"/>
        <w:i w:val="0"/>
      </w:rPr>
      <w:tcPr/>
    </w:tblStylePr>
    <w:tblStylePr w:type="band2Vert">
      <w:pPr/>
      <w:rPr>
        <w:b w:val="0"/>
        <w:i w:val="0"/>
      </w:rPr>
      <w:tcPr/>
    </w:tblStylePr>
    <w:tblStylePr w:type="firstCol">
      <w:pPr/>
      <w:rPr>
        <w:b w:val="0"/>
        <w:i w:val="0"/>
      </w:rPr>
      <w:tcPr/>
    </w:tblStylePr>
    <w:tblStylePr w:type="firstRow">
      <w:pPr/>
      <w:rPr>
        <w:b w:val="0"/>
        <w:i w:val="0"/>
      </w:rPr>
      <w:tcPr/>
    </w:tblStylePr>
    <w:tblStylePr w:type="lastCol">
      <w:pPr/>
      <w:rPr>
        <w:b w:val="0"/>
        <w:i w:val="0"/>
      </w:rPr>
      <w:tcPr/>
    </w:tblStylePr>
    <w:tblStylePr w:type="lastRow">
      <w:pPr/>
      <w:rPr>
        <w:b w:val="0"/>
        <w:i w:val="0"/>
      </w:rPr>
      <w:tcPr/>
    </w:tblStylePr>
    <w:tblStylePr w:type="neCell">
      <w:pPr/>
      <w:rPr>
        <w:b w:val="0"/>
        <w:i w:val="0"/>
      </w:rPr>
      <w:tcPr/>
    </w:tblStylePr>
    <w:tblStylePr w:type="nwCell">
      <w:pPr/>
      <w:rPr>
        <w:b w:val="0"/>
        <w:i w:val="0"/>
      </w:rPr>
      <w:tcPr/>
    </w:tblStylePr>
    <w:tblStylePr w:type="seCell">
      <w:pPr/>
      <w:rPr>
        <w:b w:val="0"/>
        <w:i w:val="0"/>
      </w:rPr>
      <w:tcPr/>
    </w:tblStylePr>
    <w:tblStylePr w:type="swCell">
      <w:pPr/>
      <w:rPr>
        <w:b w:val="0"/>
        <w:i w:val="0"/>
      </w:rPr>
      <w:tcPr/>
    </w:tblStylePr>
  </w:style>
  <w:style w:type="table" w:styleId="Table4">
    <w:basedOn w:val="TableNormal"/>
    <w:pPr>
      <w:spacing w:after="0" w:before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1.png"/><Relationship Id="rId21" Type="http://schemas.openxmlformats.org/officeDocument/2006/relationships/image" Target="media/image5.png"/><Relationship Id="rId24" Type="http://schemas.openxmlformats.org/officeDocument/2006/relationships/image" Target="media/image16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hyperlink" Target="http://softline.rbc.ru/page/chto-takoe-bi-i-zachem-eto-nuzhno-vashemu-biznesu/" TargetMode="External"/><Relationship Id="rId25" Type="http://schemas.openxmlformats.org/officeDocument/2006/relationships/image" Target="media/image7.png"/><Relationship Id="rId28" Type="http://schemas.openxmlformats.org/officeDocument/2006/relationships/hyperlink" Target="https://korusconsulting.ru/press-center/publications/6-etapov-gramotnogo-vnedreniya-bi-sistemy/" TargetMode="External"/><Relationship Id="rId27" Type="http://schemas.openxmlformats.org/officeDocument/2006/relationships/hyperlink" Target="https://habr.com/ru/company/navicon/blog/250875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habr.com/ru/post/428159/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8.png"/><Relationship Id="rId31" Type="http://schemas.openxmlformats.org/officeDocument/2006/relationships/hyperlink" Target="https://www.qlik.com/ru-ru/" TargetMode="External"/><Relationship Id="rId30" Type="http://schemas.openxmlformats.org/officeDocument/2006/relationships/hyperlink" Target="https://powerbi.microsoft.com/ru-ru/" TargetMode="External"/><Relationship Id="rId11" Type="http://schemas.openxmlformats.org/officeDocument/2006/relationships/hyperlink" Target="https://www.zdnet.com/article/gartner-wins-in-zl-lawsuit-but-is-it-a-pyrrhic-victory/" TargetMode="External"/><Relationship Id="rId33" Type="http://schemas.openxmlformats.org/officeDocument/2006/relationships/hyperlink" Target="https://www.mann-ivanov-ferber.ru/assets/files/bookparts/026/diagrammy_read.pdf" TargetMode="External"/><Relationship Id="rId10" Type="http://schemas.openxmlformats.org/officeDocument/2006/relationships/image" Target="media/image14.png"/><Relationship Id="rId32" Type="http://schemas.openxmlformats.org/officeDocument/2006/relationships/hyperlink" Target="https://www.tableau.com/" TargetMode="External"/><Relationship Id="rId13" Type="http://schemas.openxmlformats.org/officeDocument/2006/relationships/image" Target="media/image9.png"/><Relationship Id="rId35" Type="http://schemas.openxmlformats.org/officeDocument/2006/relationships/header" Target="header1.xml"/><Relationship Id="rId12" Type="http://schemas.openxmlformats.org/officeDocument/2006/relationships/image" Target="media/image2.jpg"/><Relationship Id="rId34" Type="http://schemas.openxmlformats.org/officeDocument/2006/relationships/hyperlink" Target="https://powerbi.microsoft.com/ru-ru/downloads/" TargetMode="External"/><Relationship Id="rId15" Type="http://schemas.openxmlformats.org/officeDocument/2006/relationships/hyperlink" Target="https://www.tableau.com/" TargetMode="External"/><Relationship Id="rId14" Type="http://schemas.openxmlformats.org/officeDocument/2006/relationships/hyperlink" Target="https://powerbi.microsoft.com/ru-ru/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www.qlik.com/ru-ru/" TargetMode="External"/><Relationship Id="rId19" Type="http://schemas.openxmlformats.org/officeDocument/2006/relationships/image" Target="media/image15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7aLHtV7qBqyzH/xbk6Ug49VIHA==">AMUW2mUV79TQRgfBTrD7abMGt65VGEHkhfDm3mhO66wqfidLAxRaq+F2ogxMCMFiEDiaYoNlTFhsXr8AMSM22VyglLAO4nw8SYqbM3pCckICQpC9PbcE/2VTc7GQm46czp7XjPWw+CZvlvH8kPKLyRcms/VWn1GBwLOKbT28sfnuE7AZNXGPNegxbhD2oqFLKtiB2domcjvxupA7V3N7J3J5/QMrCaL91Y1RWMe+3g1rPBM4Z3nVLpKyiPijbWw2jpTLz5voB2OwnYzBN5kGCg3DBXkvSE+cxTpgEd/JCxQzshu8bSdJyZzfBPRF0ZxIjy/jOFweW3FNeqL6//ixhb/BCYL4jMYDI00j+QCv0gs3xeiaqh4nMQC9K0YsHwl7osegc34mKCI5m9/0pAAGcKql01dVGvL5fWbrNRp8cp4EBc/pbZpl/mnIvEhX2L+2gbYHFLIV+ok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2022-06-25T11:28:00Z</dcterms:created>
  <dc:creator>Кристина Радомская</dc:creator>
</cp:coreProperties>
</file>