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-1122995</wp:posOffset>
            </wp:positionH>
            <wp:positionV relativeFrom="margin">
              <wp:posOffset>5033010</wp:posOffset>
            </wp:positionV>
            <wp:extent cx="7620000" cy="4953000"/>
            <wp:effectExtent b="0" l="0" r="0" t="0"/>
            <wp:wrapNone/>
            <wp:docPr id="1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181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-1094421</wp:posOffset>
            </wp:positionH>
            <wp:positionV relativeFrom="margin">
              <wp:posOffset>-720088</wp:posOffset>
            </wp:positionV>
            <wp:extent cx="7620000" cy="5748589"/>
            <wp:effectExtent b="0" l="0" r="0" t="0"/>
            <wp:wrapSquare wrapText="bothSides" distB="0" distT="0" distL="114300" distR="114300"/>
            <wp:docPr id="15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241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48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1650365</wp:posOffset>
            </wp:positionH>
            <wp:positionV relativeFrom="margin">
              <wp:posOffset>7230110</wp:posOffset>
            </wp:positionV>
            <wp:extent cx="4560570" cy="2394585"/>
            <wp:effectExtent b="0" l="0" r="0" t="0"/>
            <wp:wrapSquare wrapText="bothSides" distB="0" distT="0" distL="114300" distR="114300"/>
            <wp:docPr id="15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394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2209800</wp:posOffset>
                </wp:positionV>
                <wp:extent cx="6134100" cy="1914525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8475" y="2830431"/>
                          <a:ext cx="6115050" cy="18991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72"/>
                                <w:vertAlign w:val="baseline"/>
                              </w:rPr>
                              <w:t xml:space="preserve">Введение в BI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Методичка к уроку </w:t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Визуализация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2209800</wp:posOffset>
                </wp:positionV>
                <wp:extent cx="6134100" cy="1914525"/>
                <wp:effectExtent b="0" l="0" r="0" t="0"/>
                <wp:wrapNone/>
                <wp:docPr id="12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4100" cy="191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16.3999999999999" w:hRule="atLeast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IBM Plex Sans" w:cs="IBM Plex Sans" w:eastAsia="IBM Plex Sans" w:hAnsi="IBM Plex Sans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7dp8vu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Подбор цветов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3rdcrjn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Общие правила выбора и оформления визуального элемента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4d34og8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Фильтры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2s8eyo1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Воронка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1t3h5sf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Диаграмма дерева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xu8mid670e31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Карты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_heading=h.xu8mid670e31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lgpmz4htstar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Таблицы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_heading=h.lgpmz4htstar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>
          <w:rFonts w:ascii="IBM Plex Sans" w:cs="IBM Plex Sans" w:eastAsia="IBM Plex Sans" w:hAnsi="IBM Plex Sans"/>
          <w:sz w:val="44"/>
          <w:szCs w:val="44"/>
        </w:rPr>
      </w:pPr>
      <w:bookmarkStart w:colFirst="0" w:colLast="0" w:name="_heading=h.f2ij8djyaww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IBM Plex Sans" w:cs="IBM Plex Sans" w:eastAsia="IBM Plex Sans" w:hAnsi="IBM Plex Sans"/>
          <w:sz w:val="48"/>
          <w:szCs w:val="48"/>
        </w:rPr>
      </w:pPr>
      <w:bookmarkStart w:colFirst="0" w:colLast="0" w:name="_heading=h.e1ww5mjf8m1" w:id="1"/>
      <w:bookmarkEnd w:id="1"/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этой лекции вы найдете ответы на такие вопросы как / узнаете:</w:t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380" w:hanging="360"/>
        <w:jc w:val="left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Базовые элементы отчета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Подбор цветов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Визуальные элементы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Популярные визуальные элементы и правила их оформления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Линейчатые диаграммы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Круговая диаграмма и кольцевой график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Карты, таблицы и матрицы</w:t>
      </w:r>
    </w:p>
    <w:p w:rsidR="00000000" w:rsidDel="00000000" w:rsidP="00000000" w:rsidRDefault="00000000" w:rsidRPr="00000000" w14:paraId="00000026">
      <w:pPr>
        <w:widowControl w:val="0"/>
        <w:spacing w:after="200" w:line="276" w:lineRule="auto"/>
        <w:ind w:left="0" w:right="380" w:firstLine="0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BM Plex Sans" w:cs="IBM Plex Sans" w:eastAsia="IBM Plex Sans" w:hAnsi="IBM Plex Sans"/>
          <w:sz w:val="44"/>
          <w:szCs w:val="44"/>
        </w:rPr>
      </w:pPr>
      <w:bookmarkStart w:colFirst="0" w:colLast="0" w:name="_heading=h.30j0zll" w:id="2"/>
      <w:bookmarkEnd w:id="2"/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Термины, используемые в лекции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Дашборд - отчет в BI системе</w:t>
      </w:r>
    </w:p>
    <w:p w:rsidR="00000000" w:rsidDel="00000000" w:rsidP="00000000" w:rsidRDefault="00000000" w:rsidRPr="00000000" w14:paraId="0000002A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Ad-hoc аналитика — аналитика, нужная в моменте, а не на постоянной основе. Ее готовят один раз по какому-то поводу и не обновляют.</w:t>
      </w:r>
    </w:p>
    <w:p w:rsidR="00000000" w:rsidDel="00000000" w:rsidP="00000000" w:rsidRDefault="00000000" w:rsidRPr="00000000" w14:paraId="0000002B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ERP-системы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(enterprise resource planning system) — система планирования ресурсов предприятия. Предназначена для автоматизации управленческого учёта. На нашем рынке типичная ERP-система — это 1С.</w:t>
      </w:r>
    </w:p>
    <w:p w:rsidR="00000000" w:rsidDel="00000000" w:rsidP="00000000" w:rsidRDefault="00000000" w:rsidRPr="00000000" w14:paraId="0000002C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CRM-система (customer relation management) — система ведения и управления отношениями с клиентами. В ней сохраняется история взаимоотношений с клиентами: тендеры, продажи, поставки, контакты.  Для малого и среднего бизнеса на нашем рынке распространены Bitrix и AmoCRM, для крупных компаний — Dynamics (Microsoft) и Terrasoft.</w:t>
      </w:r>
    </w:p>
    <w:p w:rsidR="00000000" w:rsidDel="00000000" w:rsidP="00000000" w:rsidRDefault="00000000" w:rsidRPr="00000000" w14:paraId="0000002D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Веб-аналитика — системы, позволяющие собирать и анализировать данные о посетителях сайтов.</w:t>
      </w:r>
    </w:p>
    <w:p w:rsidR="00000000" w:rsidDel="00000000" w:rsidP="00000000" w:rsidRDefault="00000000" w:rsidRPr="00000000" w14:paraId="0000002E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Call tracking — системы, отслеживающие звонки клиентов, поступившие из онлайн-ресурсов. Помогают определить источник, который привел к звонку</w:t>
      </w:r>
    </w:p>
    <w:p w:rsidR="00000000" w:rsidDel="00000000" w:rsidP="00000000" w:rsidRDefault="00000000" w:rsidRPr="00000000" w14:paraId="0000002F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SQL — язык программирования для управления базами данных.</w:t>
      </w:r>
    </w:p>
    <w:p w:rsidR="00000000" w:rsidDel="00000000" w:rsidP="00000000" w:rsidRDefault="00000000" w:rsidRPr="00000000" w14:paraId="00000030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Excel — программа для работы с табличными данными.</w:t>
      </w:r>
    </w:p>
    <w:p w:rsidR="00000000" w:rsidDel="00000000" w:rsidP="00000000" w:rsidRDefault="00000000" w:rsidRPr="00000000" w14:paraId="00000031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Enterprise — очень крупные компании: например, Магнит, Nestle, Сбербанк, Лукойл.</w:t>
      </w:r>
    </w:p>
    <w:p w:rsidR="00000000" w:rsidDel="00000000" w:rsidP="00000000" w:rsidRDefault="00000000" w:rsidRPr="00000000" w14:paraId="00000032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DAX — язык программирования внутри Power BI для преобразования данных.</w:t>
      </w:r>
    </w:p>
    <w:p w:rsidR="00000000" w:rsidDel="00000000" w:rsidP="00000000" w:rsidRDefault="00000000" w:rsidRPr="00000000" w14:paraId="00000033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Power Query — язык программирования внутри Power BI для загрузки данных.</w:t>
      </w:r>
    </w:p>
    <w:p w:rsidR="00000000" w:rsidDel="00000000" w:rsidP="00000000" w:rsidRDefault="00000000" w:rsidRPr="00000000" w14:paraId="00000034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171717"/>
          <w:sz w:val="20"/>
          <w:szCs w:val="20"/>
          <w:highlight w:val="white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Olap-кубы (online analytical processing) — многомерный массив данных. </w:t>
      </w:r>
      <w:r w:rsidDel="00000000" w:rsidR="00000000" w:rsidRPr="00000000">
        <w:rPr>
          <w:rFonts w:ascii="IBM Plex Sans" w:cs="IBM Plex Sans" w:eastAsia="IBM Plex Sans" w:hAnsi="IBM Plex Sans"/>
          <w:color w:val="171717"/>
          <w:sz w:val="20"/>
          <w:szCs w:val="20"/>
          <w:highlight w:val="white"/>
          <w:rtl w:val="0"/>
        </w:rPr>
        <w:t xml:space="preserve">Это звено, завершающее облик решения по созданию и обслуживанию хранилищ данных.</w:t>
      </w:r>
    </w:p>
    <w:p w:rsidR="00000000" w:rsidDel="00000000" w:rsidP="00000000" w:rsidRDefault="00000000" w:rsidRPr="00000000" w14:paraId="00000035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Коннектор — программа, позволяющая автоматически забрать данные из конкретного источника данных.</w:t>
      </w:r>
    </w:p>
    <w:p w:rsidR="00000000" w:rsidDel="00000000" w:rsidP="00000000" w:rsidRDefault="00000000" w:rsidRPr="00000000" w14:paraId="00000036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Справочник — таблица с набором уникальных значений. Позволяет объединить между собой 2 или более таблиц в единую базу данных.</w:t>
      </w:r>
    </w:p>
    <w:p w:rsidR="00000000" w:rsidDel="00000000" w:rsidP="00000000" w:rsidRDefault="00000000" w:rsidRPr="00000000" w14:paraId="00000037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Дашборд — интерактивный отчёт, в котором можно «играть» с данными в режиме онлайн.</w:t>
      </w:r>
    </w:p>
    <w:p w:rsidR="00000000" w:rsidDel="00000000" w:rsidP="00000000" w:rsidRDefault="00000000" w:rsidRPr="00000000" w14:paraId="00000038">
      <w:pPr>
        <w:spacing w:after="200" w:before="200" w:line="360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B2B (business to business) — виды бизнеса, в которых взаимодействие идёт между компаниями, без физических лиц.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1"/>
        <w:keepLines w:val="1"/>
        <w:spacing w:after="120" w:before="2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17dp8vu" w:id="3"/>
      <w:bookmarkEnd w:id="3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Подбор цвет</w:t>
      </w:r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ов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Когда мы начинаем создавать визуальную часть отчета, нам необходимо определить то, в какой цветовой гамме мы это будем делать. Именно правильно подобранная логика цветов позволяет создать единый стиль отчетов и связать отдельные отчеты в единую логику.</w:t>
      </w:r>
    </w:p>
    <w:p w:rsidR="00000000" w:rsidDel="00000000" w:rsidP="00000000" w:rsidRDefault="00000000" w:rsidRPr="00000000" w14:paraId="0000003D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Есть несколько исходных для выбора цветовой гаммы: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200" w:before="200" w:line="36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Брендбук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самый лучший и объективный вариант. Если его нет, попросите актуальную презентацию. Брендбук - это документ, который описывает логику оформления корпоративных документов: презентаций, визиток и, в том числе дашбордов. Обычно там дана логика подбора цветов, их порядок и кодировка.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200" w:before="200" w:line="36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Субъективное ощущение прекрасного от руководителя – худший вариант. Тут есть два варианта решения: попросить примеры визуализации, которые ему нравятся, или тестировать визуал, постоянно предлагая новые идеи.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200" w:before="20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Ваш выбор, если вам дают право самостоятельно выбрать стиль.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Существуют разные форматы для одного и того же цвета, в Power BI используется 6-значный код, который вставляется напрямую в выбор цвета:</w:t>
      </w:r>
    </w:p>
    <w:p w:rsidR="00000000" w:rsidDel="00000000" w:rsidP="00000000" w:rsidRDefault="00000000" w:rsidRPr="00000000" w14:paraId="00000042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0" distT="0" distL="0" distR="0">
            <wp:extent cx="1821180" cy="2324100"/>
            <wp:effectExtent b="0" l="0" r="0" t="0"/>
            <wp:docPr id="14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Форматы популярных цветов: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200" w:before="20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чёрный = 000000;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200" w:before="20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белый = FFFFFF;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200" w:before="20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фиолетовый = 6B007B.</w:t>
      </w:r>
    </w:p>
    <w:p w:rsidR="00000000" w:rsidDel="00000000" w:rsidP="00000000" w:rsidRDefault="00000000" w:rsidRPr="00000000" w14:paraId="00000047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Определить код цвета можно по </w:t>
      </w:r>
      <w:hyperlink r:id="rId12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Если вам нужно самим подобрать цвета, то делайте это через поиск по картинкам Яндекса или Google. Находите готовые палитры:</w:t>
      </w:r>
    </w:p>
    <w:p w:rsidR="00000000" w:rsidDel="00000000" w:rsidP="00000000" w:rsidRDefault="00000000" w:rsidRPr="00000000" w14:paraId="00000049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5940115" cy="2819400"/>
            <wp:effectExtent b="0" l="0" r="0" t="0"/>
            <wp:docPr id="13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Какие правила важно соблюдать: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00" w:before="200" w:line="360" w:lineRule="auto"/>
        <w:ind w:left="720" w:hanging="360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Определите два ключевых цвета и один вспомогательный: всегда в первую очередь используем первые два, а третий — для элементов, где больше одного 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00" w:before="200" w:line="360" w:lineRule="auto"/>
        <w:ind w:left="720" w:hanging="360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Подберите красивый зелёный и красный для отображения хороших и плохих показателей. Например: </w:t>
      </w:r>
      <w:r w:rsidDel="00000000" w:rsidR="00000000" w:rsidRPr="00000000">
        <w:rPr>
          <w:rFonts w:ascii="IBM Plex Sans" w:cs="IBM Plex Sans" w:eastAsia="IBM Plex Sans" w:hAnsi="IBM Plex Sans"/>
          <w:color w:val="72b553"/>
          <w:sz w:val="20"/>
          <w:szCs w:val="20"/>
          <w:rtl w:val="0"/>
        </w:rPr>
        <w:t xml:space="preserve">72b553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и </w:t>
      </w:r>
      <w:r w:rsidDel="00000000" w:rsidR="00000000" w:rsidRPr="00000000">
        <w:rPr>
          <w:rFonts w:ascii="IBM Plex Sans" w:cs="IBM Plex Sans" w:eastAsia="IBM Plex Sans" w:hAnsi="IBM Plex Sans"/>
          <w:color w:val="f8614f"/>
          <w:sz w:val="20"/>
          <w:szCs w:val="20"/>
          <w:rtl w:val="0"/>
        </w:rPr>
        <w:t xml:space="preserve">f8614f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00" w:before="200" w:line="360" w:lineRule="auto"/>
        <w:ind w:left="720" w:hanging="360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Выдерживайте единую цветовую концепцию: если используете матовые цвета, то только их и используйте. Если яркие, то только яркие.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00" w:before="200" w:line="360" w:lineRule="auto"/>
        <w:ind w:left="720" w:hanging="360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Избегайте излишней цветастости и оттенков, которые могут вызывать плохие ассоциации: коричневые, жёлтые, ярко-красные, чёрные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keepNext w:val="1"/>
        <w:keepLines w:val="1"/>
        <w:spacing w:after="120" w:before="200" w:lineRule="auto"/>
        <w:jc w:val="both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3rdcrjn" w:id="4"/>
      <w:bookmarkEnd w:id="4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Общие правила выбора и оформления </w:t>
      </w:r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визуального элемента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этом уроке мы разберём три наиболее популярные диаграммы:</w:t>
      </w:r>
    </w:p>
    <w:p w:rsidR="00000000" w:rsidDel="00000000" w:rsidP="00000000" w:rsidRDefault="00000000" w:rsidRPr="00000000" w14:paraId="00000051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Линейчатая диаграмма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с группировкой подходит для задач, когда необходимо вывести длинный список показателей с разбивкой.</w:t>
      </w:r>
    </w:p>
    <w:p w:rsidR="00000000" w:rsidDel="00000000" w:rsidP="00000000" w:rsidRDefault="00000000" w:rsidRPr="00000000" w14:paraId="00000052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1523683" cy="1745484"/>
            <wp:effectExtent b="0" l="0" r="0" t="0"/>
            <wp:docPr id="1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3683" cy="174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График чаще всего используется для отображения динамики какого-то показателя во времени.</w:t>
      </w:r>
    </w:p>
    <w:p w:rsidR="00000000" w:rsidDel="00000000" w:rsidP="00000000" w:rsidRDefault="00000000" w:rsidRPr="00000000" w14:paraId="00000054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5286473" cy="1476375"/>
            <wp:effectExtent b="0" l="0" r="0" t="0"/>
            <wp:docPr id="15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312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473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Круговая диаграмма или кольцевой график лучше всего подходит, когда мало значений. В идеале — 2-3, либо когда 2-3 доминируют, а остальные значения суммарно показывают малый процент.</w:t>
      </w:r>
    </w:p>
    <w:p w:rsidR="00000000" w:rsidDel="00000000" w:rsidP="00000000" w:rsidRDefault="00000000" w:rsidRPr="00000000" w14:paraId="00000056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2677376" cy="2213007"/>
            <wp:effectExtent b="0" l="0" r="0" t="0"/>
            <wp:docPr id="1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376" cy="2213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2702723" cy="2036100"/>
            <wp:effectExtent b="0" l="0" r="0" t="0"/>
            <wp:docPr id="1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723" cy="203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Правила оформления визуального элемента: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Лучше не делать надписи на осях.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Заголовок лучше переписать самостоятельно. Текст покрупнее и выровнять.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е нужно название легенды.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Разбивайте тысячи пробелами через формат.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200" w:before="0" w:beforeAutospacing="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Никакого горизонтального текста: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before="200" w:line="360" w:lineRule="auto"/>
        <w:ind w:left="720" w:firstLine="0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1838325" cy="1948180"/>
            <wp:effectExtent b="0" l="0" r="0" t="0"/>
            <wp:docPr id="14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20415" l="0" r="0" t="1575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94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</wp:posOffset>
                </wp:positionH>
                <wp:positionV relativeFrom="paragraph">
                  <wp:posOffset>781050</wp:posOffset>
                </wp:positionV>
                <wp:extent cx="174690" cy="659882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71355" y="3462759"/>
                          <a:ext cx="149290" cy="634482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</wp:posOffset>
                </wp:positionH>
                <wp:positionV relativeFrom="paragraph">
                  <wp:posOffset>781050</wp:posOffset>
                </wp:positionV>
                <wp:extent cx="174690" cy="659882"/>
                <wp:effectExtent b="0" l="0" r="0" t="0"/>
                <wp:wrapNone/>
                <wp:docPr id="12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90" cy="6598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Пример хорошего визуального элемента:</w:t>
      </w:r>
    </w:p>
    <w:p w:rsidR="00000000" w:rsidDel="00000000" w:rsidP="00000000" w:rsidRDefault="00000000" w:rsidRPr="00000000" w14:paraId="00000060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3629025" cy="5495925"/>
            <wp:effectExtent b="0" l="0" r="0" t="0"/>
            <wp:docPr id="1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По заголовку понятно, чему он посвящён.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Цветовая гамма выбрана. 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Все значения помещаются без скрола.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Метки данных расставлены и понятны. Нет масштабирования.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Нет подписей осей.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200" w:line="360" w:lineRule="auto"/>
        <w:ind w:left="7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Первые два значения выделены корпоративным цветом для фокуса внимания.</w:t>
      </w:r>
    </w:p>
    <w:p w:rsidR="00000000" w:rsidDel="00000000" w:rsidP="00000000" w:rsidRDefault="00000000" w:rsidRPr="00000000" w14:paraId="00000067">
      <w:pPr>
        <w:pStyle w:val="Heading1"/>
        <w:keepNext w:val="1"/>
        <w:keepLines w:val="1"/>
        <w:spacing w:before="4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4d34og8" w:id="5"/>
      <w:bookmarkEnd w:id="5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Фильтры</w:t>
      </w:r>
    </w:p>
    <w:p w:rsidR="00000000" w:rsidDel="00000000" w:rsidP="00000000" w:rsidRDefault="00000000" w:rsidRPr="00000000" w14:paraId="00000068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Фильтры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— это один из ключевых элементов отчёта. Под них мы выделяем отдельное место. Эта функция фильтрует таблицы по аналогии с Excel. </w:t>
      </w:r>
    </w:p>
    <w:p w:rsidR="00000000" w:rsidDel="00000000" w:rsidP="00000000" w:rsidRDefault="00000000" w:rsidRPr="00000000" w14:paraId="00000069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Фильтры можно настраивать как на отдельной панели сбоку, так и напрямую вставлять в отчёт визуализацию «Срез».</w:t>
      </w:r>
    </w:p>
    <w:p w:rsidR="00000000" w:rsidDel="00000000" w:rsidP="00000000" w:rsidRDefault="00000000" w:rsidRPr="00000000" w14:paraId="0000006A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Панель сбоку:</w:t>
      </w:r>
    </w:p>
    <w:p w:rsidR="00000000" w:rsidDel="00000000" w:rsidP="00000000" w:rsidRDefault="00000000" w:rsidRPr="00000000" w14:paraId="0000006B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0" distT="0" distL="0" distR="0">
            <wp:extent cx="2034540" cy="4853940"/>
            <wp:effectExtent b="0" l="0" r="0" t="0"/>
            <wp:docPr id="14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485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Визуализация «Срез»: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939800</wp:posOffset>
                </wp:positionV>
                <wp:extent cx="659765" cy="619125"/>
                <wp:effectExtent b="0" l="0" r="0" t="0"/>
                <wp:wrapNone/>
                <wp:docPr id="1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20880" y="3475200"/>
                          <a:ext cx="650240" cy="6096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E32E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939800</wp:posOffset>
                </wp:positionV>
                <wp:extent cx="659765" cy="619125"/>
                <wp:effectExtent b="0" l="0" r="0" t="0"/>
                <wp:wrapNone/>
                <wp:docPr id="12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976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3934459</wp:posOffset>
            </wp:positionH>
            <wp:positionV relativeFrom="paragraph">
              <wp:posOffset>961389</wp:posOffset>
            </wp:positionV>
            <wp:extent cx="2503423" cy="790575"/>
            <wp:effectExtent b="0" l="0" r="0" t="0"/>
            <wp:wrapNone/>
            <wp:docPr id="1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126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3423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409825" cy="2714625"/>
            <wp:effectExtent b="0" l="0" r="0" t="0"/>
            <wp:wrapNone/>
            <wp:docPr id="1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Как это выглядит на уровне данных: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0" distT="0" distL="0" distR="0">
            <wp:extent cx="5940115" cy="1955800"/>
            <wp:effectExtent b="0" l="0" r="0" t="0"/>
            <wp:docPr id="14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keepNext w:val="1"/>
        <w:keepLines w:val="1"/>
        <w:spacing w:before="4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2s8eyo1" w:id="6"/>
      <w:bookmarkEnd w:id="6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Воронка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Для анализа продаж или маркетинга нам нужна визуализация воронки, где будут отображаться разные этапы пути клиента. Для этого нам нужна визуализация «Воронка»:</w:t>
      </w:r>
    </w:p>
    <w:p w:rsidR="00000000" w:rsidDel="00000000" w:rsidP="00000000" w:rsidRDefault="00000000" w:rsidRPr="00000000" w14:paraId="00000079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1139509</wp:posOffset>
            </wp:positionH>
            <wp:positionV relativeFrom="page">
              <wp:posOffset>5853819</wp:posOffset>
            </wp:positionV>
            <wp:extent cx="1418271" cy="1998186"/>
            <wp:effectExtent b="0" l="0" r="0" t="0"/>
            <wp:wrapTopAndBottom distB="0" distT="0"/>
            <wp:docPr id="14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8271" cy="1998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2300288</wp:posOffset>
                </wp:positionH>
                <wp:positionV relativeFrom="paragraph">
                  <wp:posOffset>895350</wp:posOffset>
                </wp:positionV>
                <wp:extent cx="786765" cy="619125"/>
                <wp:effectExtent b="0" l="0" r="0" t="0"/>
                <wp:wrapNone/>
                <wp:docPr id="12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57380" y="3475200"/>
                          <a:ext cx="777240" cy="6096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E32E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2300288</wp:posOffset>
                </wp:positionH>
                <wp:positionV relativeFrom="paragraph">
                  <wp:posOffset>895350</wp:posOffset>
                </wp:positionV>
                <wp:extent cx="786765" cy="619125"/>
                <wp:effectExtent b="0" l="0" r="0" t="0"/>
                <wp:wrapNone/>
                <wp:docPr id="12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619125</wp:posOffset>
            </wp:positionV>
            <wp:extent cx="3320527" cy="1256812"/>
            <wp:effectExtent b="0" l="0" r="0" t="0"/>
            <wp:wrapNone/>
            <wp:docPr id="1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0527" cy="1256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Также воронка может использоваться для отображения одного и того же процесса на разных стадиях, например, процесс переплавки железа.</w:t>
      </w:r>
    </w:p>
    <w:p w:rsidR="00000000" w:rsidDel="00000000" w:rsidP="00000000" w:rsidRDefault="00000000" w:rsidRPr="00000000" w14:paraId="0000007C">
      <w:pPr>
        <w:pStyle w:val="Heading1"/>
        <w:keepNext w:val="1"/>
        <w:keepLines w:val="1"/>
        <w:spacing w:after="120" w:before="4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1t3h5sf" w:id="7"/>
      <w:bookmarkEnd w:id="7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Диаграмма дерева</w:t>
      </w:r>
    </w:p>
    <w:p w:rsidR="00000000" w:rsidDel="00000000" w:rsidP="00000000" w:rsidRDefault="00000000" w:rsidRPr="00000000" w14:paraId="0000007D">
      <w:pPr>
        <w:spacing w:after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  <w:highlight w:val="white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highlight w:val="white"/>
          <w:rtl w:val="0"/>
        </w:rPr>
        <w:t xml:space="preserve">Диаграмма дерева используется, когда нужно показать соотношение элементов и целого. Подходит для тех же случаев, что линейчатая и круговая диаграмма. </w:t>
      </w:r>
    </w:p>
    <w:p w:rsidR="00000000" w:rsidDel="00000000" w:rsidP="00000000" w:rsidRDefault="00000000" w:rsidRPr="00000000" w14:paraId="0000007F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  <w:highlight w:val="white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Диаграмма дерева менее привычна для целей аналитики, поэтому её стоит использовать аккуратно: некоторым пользователям она может быть непонятна.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Пример визуализации одинаковых данных в трёх разных элементах, из которых диаграмма дерева — самый правый:</w:t>
      </w:r>
    </w:p>
    <w:p w:rsidR="00000000" w:rsidDel="00000000" w:rsidP="00000000" w:rsidRDefault="00000000" w:rsidRPr="00000000" w14:paraId="00000081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0" distT="0" distL="0" distR="0">
            <wp:extent cx="5940115" cy="3263900"/>
            <wp:effectExtent b="0" l="0" r="0" t="0"/>
            <wp:docPr id="1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Диаграмма дерева хорошо выглядит, когда для неё выделено достаточно места или когда она отображает немного значений: от 5 до 8.</w:t>
      </w:r>
    </w:p>
    <w:p w:rsidR="00000000" w:rsidDel="00000000" w:rsidP="00000000" w:rsidRDefault="00000000" w:rsidRPr="00000000" w14:paraId="00000083">
      <w:pPr>
        <w:spacing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0" distT="0" distL="0" distR="0">
            <wp:extent cx="5438458" cy="3030501"/>
            <wp:effectExtent b="0" l="0" r="0" t="0"/>
            <wp:docPr id="14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458" cy="3030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keepNext w:val="1"/>
        <w:keepLines w:val="1"/>
        <w:spacing w:before="2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xu8mid670e31" w:id="8"/>
      <w:bookmarkEnd w:id="8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Карты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Power BI базово есть два варианта карт: обычная и заполненная.</w:t>
      </w:r>
    </w:p>
    <w:p w:rsidR="00000000" w:rsidDel="00000000" w:rsidP="00000000" w:rsidRDefault="00000000" w:rsidRPr="00000000" w14:paraId="00000086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На обычной карте значения отображаются либо в виде отдельных элементов (в основном кругов), либо в виде тепловой карты:</w:t>
      </w:r>
    </w:p>
    <w:p w:rsidR="00000000" w:rsidDel="00000000" w:rsidP="00000000" w:rsidRDefault="00000000" w:rsidRPr="00000000" w14:paraId="00000087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5940115" cy="1714500"/>
            <wp:effectExtent b="0" l="0" r="0" t="0"/>
            <wp:docPr id="1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474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5940115" cy="1651000"/>
            <wp:effectExtent b="0" l="0" r="0" t="0"/>
            <wp:docPr id="1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Заполненная карта показывает не отдельные точки, а заливает целые регионы. Этот элемент используется реже, например если нужно делать аналитику, агрегированную по регионам:</w:t>
      </w:r>
    </w:p>
    <w:p w:rsidR="00000000" w:rsidDel="00000000" w:rsidP="00000000" w:rsidRDefault="00000000" w:rsidRPr="00000000" w14:paraId="0000008A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  <w:drawing>
          <wp:inline distB="0" distT="0" distL="0" distR="0">
            <wp:extent cx="5940115" cy="1816100"/>
            <wp:effectExtent b="0" l="0" r="0" t="0"/>
            <wp:docPr id="15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441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keepNext w:val="1"/>
        <w:keepLines w:val="1"/>
        <w:spacing w:after="120" w:before="2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lgpmz4htstar" w:id="9"/>
      <w:bookmarkEnd w:id="9"/>
      <w:r w:rsidDel="00000000" w:rsidR="00000000" w:rsidRPr="00000000">
        <w:rPr>
          <w:rFonts w:ascii="IBM Plex Sans" w:cs="IBM Plex Sans" w:eastAsia="IBM Plex Sans" w:hAnsi="IBM Plex Sans"/>
          <w:b w:val="0"/>
          <w:sz w:val="36"/>
          <w:szCs w:val="36"/>
          <w:rtl w:val="0"/>
        </w:rPr>
        <w:t xml:space="preserve">Таблицы</w:t>
      </w:r>
    </w:p>
    <w:p w:rsidR="00000000" w:rsidDel="00000000" w:rsidP="00000000" w:rsidRDefault="00000000" w:rsidRPr="00000000" w14:paraId="0000008C">
      <w:pPr>
        <w:spacing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Power BI есть два варианта таблиц: обычные и матричные. Матричные отличаются тем, что в них можно регулировать не только строки, но и столбцы.</w:t>
      </w:r>
    </w:p>
    <w:tbl>
      <w:tblPr>
        <w:tblStyle w:val="Table2"/>
        <w:tblW w:w="9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00" w:before="200" w:line="360" w:lineRule="auto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Выбор элементов в обычной таблице:</w:t>
            </w:r>
          </w:p>
          <w:p w:rsidR="00000000" w:rsidDel="00000000" w:rsidP="00000000" w:rsidRDefault="00000000" w:rsidRPr="00000000" w14:paraId="0000008E">
            <w:pPr>
              <w:spacing w:after="200" w:before="200" w:line="360" w:lineRule="auto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</w:rPr>
              <w:drawing>
                <wp:inline distB="0" distT="0" distL="0" distR="0">
                  <wp:extent cx="1836420" cy="2689860"/>
                  <wp:effectExtent b="0" l="0" r="0" t="0"/>
                  <wp:docPr id="14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2689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00" w:before="200" w:line="360" w:lineRule="auto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Выбор элементов в матричной таблице:</w:t>
            </w:r>
          </w:p>
          <w:p w:rsidR="00000000" w:rsidDel="00000000" w:rsidP="00000000" w:rsidRDefault="00000000" w:rsidRPr="00000000" w14:paraId="00000090">
            <w:pPr>
              <w:spacing w:after="200" w:before="200" w:line="360" w:lineRule="auto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</w:rPr>
              <w:drawing>
                <wp:inline distB="0" distT="0" distL="0" distR="0">
                  <wp:extent cx="1866900" cy="3802380"/>
                  <wp:effectExtent b="0" l="0" r="0" t="0"/>
                  <wp:docPr id="14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38023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Часто в таблицах просят сделать разметку элементов в виде светофора, чтобы подсвечивать показатели, которые выполняются или не выполняются. Чтобы это настроить, нам нужно идти в условное форматирование и выбрать «Значки»:</w:t>
      </w:r>
    </w:p>
    <w:p w:rsidR="00000000" w:rsidDel="00000000" w:rsidP="00000000" w:rsidRDefault="00000000" w:rsidRPr="00000000" w14:paraId="00000092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0" distT="0" distL="0" distR="0">
            <wp:extent cx="1563539" cy="3622519"/>
            <wp:effectExtent b="0" l="0" r="0" t="0"/>
            <wp:docPr id="1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3539" cy="3622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Далее настраиваем логику отображения элементов по клику на «Дополнительные элементы управления»: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0" distT="0" distL="0" distR="0">
            <wp:extent cx="5940115" cy="3098800"/>
            <wp:effectExtent b="0" l="0" r="0" t="0"/>
            <wp:docPr id="1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138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keepNext w:val="1"/>
        <w:keepLines w:val="1"/>
        <w:spacing w:after="120" w:before="200" w:lineRule="auto"/>
        <w:rPr>
          <w:rFonts w:ascii="Arial" w:cs="Arial" w:eastAsia="Arial" w:hAnsi="Arial"/>
        </w:rPr>
      </w:pPr>
      <w:bookmarkStart w:colFirst="0" w:colLast="0" w:name="_heading=h.2xcytpi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Домашнее задание</w:t>
      </w:r>
    </w:p>
    <w:p w:rsidR="00000000" w:rsidDel="00000000" w:rsidP="00000000" w:rsidRDefault="00000000" w:rsidRPr="00000000" w14:paraId="00000097">
      <w:pPr>
        <w:spacing w:after="240" w:before="24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Скачайте данные по ссылке: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360" w:lineRule="auto"/>
        <w:rPr>
          <w:rFonts w:ascii="Arial" w:cs="Arial" w:eastAsia="Arial" w:hAnsi="Arial"/>
          <w:color w:val="2c2d30"/>
          <w:sz w:val="20"/>
          <w:szCs w:val="20"/>
        </w:rPr>
      </w:pPr>
      <w:hyperlink r:id="rId38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u w:val="single"/>
            <w:rtl w:val="0"/>
          </w:rPr>
          <w:t xml:space="preserve">https://docs.google.com/spreadsheets/d/11A0P1apsMzEAYJpRzajS3gY2GuNBTEZXMBFwX_uswro/edit#gid=0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При погрузке данных «edit#gid=0» замените на «export?format=xlsx»</w:t>
      </w:r>
    </w:p>
    <w:p w:rsidR="00000000" w:rsidDel="00000000" w:rsidP="00000000" w:rsidRDefault="00000000" w:rsidRPr="00000000" w14:paraId="0000009A">
      <w:pPr>
        <w:spacing w:after="240" w:before="24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В качестве подтверждения выполнения задания пришлите принт скрин данных внутри Power BI.</w:t>
      </w:r>
    </w:p>
    <w:p w:rsidR="00000000" w:rsidDel="00000000" w:rsidP="00000000" w:rsidRDefault="00000000" w:rsidRPr="00000000" w14:paraId="0000009B">
      <w:pPr>
        <w:spacing w:after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39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"/>
      <w:tblW w:w="9345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672"/>
      <w:gridCol w:w="4673"/>
      <w:tblGridChange w:id="0">
        <w:tblGrid>
          <w:gridCol w:w="4672"/>
          <w:gridCol w:w="467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77"/>
              <w:tab w:val="right" w:pos="9355"/>
            </w:tabs>
            <w:spacing w:after="0" w:before="120" w:line="240" w:lineRule="auto"/>
            <w:ind w:left="0" w:right="0" w:firstLine="0"/>
            <w:jc w:val="left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d9d9d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IBM Plex Sans" w:cs="IBM Plex Sans" w:eastAsia="IBM Plex Sans" w:hAnsi="IBM Plex Sans"/>
              <w:color w:val="d9d9d9"/>
              <w:rtl w:val="0"/>
            </w:rPr>
            <w:t xml:space="preserve">Визуализация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77"/>
              <w:tab w:val="right" w:pos="9355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291600" cy="291600"/>
                <wp:effectExtent b="0" l="0" r="0" t="0"/>
                <wp:docPr id="15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29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416702"/>
    <w:pPr>
      <w:spacing w:after="100" w:afterAutospacing="1" w:before="100" w:beforeAutospacing="1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4" w:customStyle="1">
    <w:name w:val="Верхний колонтитул Знак"/>
    <w:basedOn w:val="a0"/>
    <w:link w:val="a3"/>
    <w:uiPriority w:val="99"/>
    <w:rsid w:val="008717E5"/>
  </w:style>
  <w:style w:type="paragraph" w:styleId="a5">
    <w:name w:val="footer"/>
    <w:basedOn w:val="a"/>
    <w:link w:val="a6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8717E5"/>
  </w:style>
  <w:style w:type="paragraph" w:styleId="a7">
    <w:name w:val="List Paragraph"/>
    <w:basedOn w:val="a"/>
    <w:uiPriority w:val="34"/>
    <w:qFormat w:val="1"/>
    <w:rsid w:val="00125FD9"/>
    <w:pPr>
      <w:spacing w:line="276" w:lineRule="auto"/>
      <w:ind w:left="720"/>
      <w:contextualSpacing w:val="1"/>
    </w:pPr>
    <w:rPr>
      <w:rFonts w:ascii="Arial" w:cs="Arial" w:eastAsia="Arial" w:hAnsi="Arial"/>
      <w:sz w:val="22"/>
      <w:szCs w:val="22"/>
      <w:lang w:eastAsia="ru-RU" w:val="ru"/>
    </w:rPr>
  </w:style>
  <w:style w:type="table" w:styleId="a8">
    <w:name w:val="Table Grid"/>
    <w:basedOn w:val="a1"/>
    <w:uiPriority w:val="39"/>
    <w:rsid w:val="002C705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10" w:customStyle="1">
    <w:name w:val="Заголовок 1 Знак"/>
    <w:basedOn w:val="a0"/>
    <w:link w:val="1"/>
    <w:uiPriority w:val="9"/>
    <w:rsid w:val="00416702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emoji" w:customStyle="1">
    <w:name w:val="emoji"/>
    <w:basedOn w:val="a0"/>
    <w:rsid w:val="00416702"/>
  </w:style>
  <w:style w:type="paragraph" w:styleId="a9">
    <w:name w:val="Normal (Web)"/>
    <w:basedOn w:val="a"/>
    <w:uiPriority w:val="99"/>
    <w:semiHidden w:val="1"/>
    <w:unhideWhenUsed w:val="1"/>
    <w:rsid w:val="00A35BE9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ru-RU"/>
    </w:rPr>
  </w:style>
  <w:style w:type="paragraph" w:styleId="aa">
    <w:name w:val="TOC Heading"/>
    <w:basedOn w:val="1"/>
    <w:next w:val="a"/>
    <w:uiPriority w:val="39"/>
    <w:unhideWhenUsed w:val="1"/>
    <w:qFormat w:val="1"/>
    <w:rsid w:val="00A35BE9"/>
    <w:pPr>
      <w:keepNext w:val="1"/>
      <w:keepLines w:val="1"/>
      <w:spacing w:after="0" w:afterAutospacing="0" w:before="480" w:beforeAutospacing="0" w:line="276" w:lineRule="auto"/>
      <w:outlineLvl w:val="9"/>
    </w:pPr>
    <w:rPr>
      <w:rFonts w:asciiTheme="majorHAnsi" w:cstheme="majorBidi" w:eastAsiaTheme="majorEastAsia" w:hAnsiTheme="majorHAnsi"/>
      <w:color w:val="2f5496" w:themeColor="accent1" w:themeShade="0000BF"/>
      <w:kern w:val="0"/>
      <w:sz w:val="28"/>
      <w:szCs w:val="28"/>
    </w:rPr>
  </w:style>
  <w:style w:type="paragraph" w:styleId="11">
    <w:name w:val="toc 1"/>
    <w:basedOn w:val="a"/>
    <w:next w:val="a"/>
    <w:autoRedefine w:val="1"/>
    <w:uiPriority w:val="39"/>
    <w:unhideWhenUsed w:val="1"/>
    <w:rsid w:val="00A35BE9"/>
    <w:pPr>
      <w:spacing w:before="120"/>
    </w:pPr>
    <w:rPr>
      <w:rFonts w:cstheme="minorHAnsi"/>
      <w:b w:val="1"/>
      <w:bCs w:val="1"/>
      <w:i w:val="1"/>
      <w:iCs w:val="1"/>
    </w:rPr>
  </w:style>
  <w:style w:type="character" w:styleId="ab">
    <w:name w:val="Hyperlink"/>
    <w:basedOn w:val="a0"/>
    <w:uiPriority w:val="99"/>
    <w:unhideWhenUsed w:val="1"/>
    <w:rsid w:val="00A35BE9"/>
    <w:rPr>
      <w:color w:val="0563c1" w:themeColor="hyperlink"/>
      <w:u w:val="single"/>
    </w:rPr>
  </w:style>
  <w:style w:type="paragraph" w:styleId="2">
    <w:name w:val="toc 2"/>
    <w:basedOn w:val="a"/>
    <w:next w:val="a"/>
    <w:autoRedefine w:val="1"/>
    <w:uiPriority w:val="39"/>
    <w:semiHidden w:val="1"/>
    <w:unhideWhenUsed w:val="1"/>
    <w:rsid w:val="00A35BE9"/>
    <w:pPr>
      <w:spacing w:before="120"/>
      <w:ind w:left="240"/>
    </w:pPr>
    <w:rPr>
      <w:rFonts w:cstheme="minorHAnsi"/>
      <w:b w:val="1"/>
      <w:bCs w:val="1"/>
      <w:sz w:val="22"/>
      <w:szCs w:val="22"/>
    </w:rPr>
  </w:style>
  <w:style w:type="paragraph" w:styleId="3">
    <w:name w:val="toc 3"/>
    <w:basedOn w:val="a"/>
    <w:next w:val="a"/>
    <w:autoRedefine w:val="1"/>
    <w:uiPriority w:val="39"/>
    <w:semiHidden w:val="1"/>
    <w:unhideWhenUsed w:val="1"/>
    <w:rsid w:val="00A35BE9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 w:val="1"/>
    <w:uiPriority w:val="39"/>
    <w:semiHidden w:val="1"/>
    <w:unhideWhenUsed w:val="1"/>
    <w:rsid w:val="00A35BE9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 w:val="1"/>
    <w:uiPriority w:val="39"/>
    <w:semiHidden w:val="1"/>
    <w:unhideWhenUsed w:val="1"/>
    <w:rsid w:val="00A35BE9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 w:val="1"/>
    <w:uiPriority w:val="39"/>
    <w:semiHidden w:val="1"/>
    <w:unhideWhenUsed w:val="1"/>
    <w:rsid w:val="00A35BE9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 w:val="1"/>
    <w:uiPriority w:val="39"/>
    <w:semiHidden w:val="1"/>
    <w:unhideWhenUsed w:val="1"/>
    <w:rsid w:val="00A35BE9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 w:val="1"/>
    <w:uiPriority w:val="39"/>
    <w:semiHidden w:val="1"/>
    <w:unhideWhenUsed w:val="1"/>
    <w:rsid w:val="00A35BE9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 w:val="1"/>
    <w:uiPriority w:val="39"/>
    <w:semiHidden w:val="1"/>
    <w:unhideWhenUsed w:val="1"/>
    <w:rsid w:val="00A35BE9"/>
    <w:pPr>
      <w:ind w:left="1920"/>
    </w:pPr>
    <w:rPr>
      <w:rFonts w:cstheme="minorHAnsi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3.png"/><Relationship Id="rId21" Type="http://schemas.openxmlformats.org/officeDocument/2006/relationships/image" Target="media/image25.png"/><Relationship Id="rId24" Type="http://schemas.openxmlformats.org/officeDocument/2006/relationships/image" Target="media/image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13.png"/><Relationship Id="rId25" Type="http://schemas.openxmlformats.org/officeDocument/2006/relationships/image" Target="media/image19.png"/><Relationship Id="rId28" Type="http://schemas.openxmlformats.org/officeDocument/2006/relationships/image" Target="media/image7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image" Target="media/image6.png"/><Relationship Id="rId8" Type="http://schemas.openxmlformats.org/officeDocument/2006/relationships/image" Target="media/image29.png"/><Relationship Id="rId31" Type="http://schemas.openxmlformats.org/officeDocument/2006/relationships/image" Target="media/image2.png"/><Relationship Id="rId30" Type="http://schemas.openxmlformats.org/officeDocument/2006/relationships/image" Target="media/image22.png"/><Relationship Id="rId11" Type="http://schemas.openxmlformats.org/officeDocument/2006/relationships/image" Target="media/image30.png"/><Relationship Id="rId33" Type="http://schemas.openxmlformats.org/officeDocument/2006/relationships/image" Target="media/image26.png"/><Relationship Id="rId10" Type="http://schemas.openxmlformats.org/officeDocument/2006/relationships/image" Target="media/image4.png"/><Relationship Id="rId32" Type="http://schemas.openxmlformats.org/officeDocument/2006/relationships/image" Target="media/image9.png"/><Relationship Id="rId13" Type="http://schemas.openxmlformats.org/officeDocument/2006/relationships/image" Target="media/image12.jpg"/><Relationship Id="rId35" Type="http://schemas.openxmlformats.org/officeDocument/2006/relationships/image" Target="media/image10.png"/><Relationship Id="rId12" Type="http://schemas.openxmlformats.org/officeDocument/2006/relationships/hyperlink" Target="https://sanstv.ru/color" TargetMode="External"/><Relationship Id="rId34" Type="http://schemas.openxmlformats.org/officeDocument/2006/relationships/image" Target="media/image21.png"/><Relationship Id="rId15" Type="http://schemas.openxmlformats.org/officeDocument/2006/relationships/image" Target="media/image27.png"/><Relationship Id="rId37" Type="http://schemas.openxmlformats.org/officeDocument/2006/relationships/image" Target="media/image16.png"/><Relationship Id="rId14" Type="http://schemas.openxmlformats.org/officeDocument/2006/relationships/image" Target="media/image20.png"/><Relationship Id="rId36" Type="http://schemas.openxmlformats.org/officeDocument/2006/relationships/image" Target="media/image14.png"/><Relationship Id="rId17" Type="http://schemas.openxmlformats.org/officeDocument/2006/relationships/image" Target="media/image15.png"/><Relationship Id="rId39" Type="http://schemas.openxmlformats.org/officeDocument/2006/relationships/header" Target="header1.xml"/><Relationship Id="rId16" Type="http://schemas.openxmlformats.org/officeDocument/2006/relationships/image" Target="media/image1.png"/><Relationship Id="rId38" Type="http://schemas.openxmlformats.org/officeDocument/2006/relationships/hyperlink" Target="https://docs.google.com/spreadsheets/d/11A0P1apsMzEAYJpRzajS3gY2GuNBTEZXMBFwX_uswro/edit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cY1nCkqJ5amInc3ogeMfs5Eo/w==">AMUW2mWXnwWuIF9hGmcoXPCBSkHU1OXm3xf6H08QURVyBrQmE14bPb9UGuV2SWG2t4mojo5o5WS3S9QW16e0F29q9cMzE8gkZMKDDDthkwHcjdTxgRUWc6qIBHZHU9FwVjudWrziKFGyhqvA/ZpwTkoecNn4Aofq/7gXecjTdIwlUERyJm2btRwJuX/oY5QPT/D8Wf+X9jffuECya+/8SC3Wst1bryOFRQq7tOP56t6O8mAxoYcNKe5O3qL8/GCIxonCWf17+2CigV9JOEndPv4JrwBIannAkP5zC4VDcA1mVvuZmUMXEQ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2022-06-25T11:28:00Z</dcterms:created>
  <dc:creator>Кристина Радомская</dc:creator>
</cp:coreProperties>
</file>