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margin">
              <wp:posOffset>-1122994</wp:posOffset>
            </wp:positionH>
            <wp:positionV relativeFrom="margin">
              <wp:posOffset>5033010</wp:posOffset>
            </wp:positionV>
            <wp:extent cx="7620000" cy="4953000"/>
            <wp:effectExtent b="0" l="0" r="0" t="0"/>
            <wp:wrapNone/>
            <wp:docPr id="15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181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95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-1094420</wp:posOffset>
            </wp:positionH>
            <wp:positionV relativeFrom="margin">
              <wp:posOffset>-720087</wp:posOffset>
            </wp:positionV>
            <wp:extent cx="7620000" cy="5748589"/>
            <wp:effectExtent b="0" l="0" r="0" t="0"/>
            <wp:wrapSquare wrapText="bothSides" distB="0" distT="0" distL="114300" distR="114300"/>
            <wp:docPr id="17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41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48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1650365</wp:posOffset>
            </wp:positionH>
            <wp:positionV relativeFrom="margin">
              <wp:posOffset>7230110</wp:posOffset>
            </wp:positionV>
            <wp:extent cx="4560570" cy="2394585"/>
            <wp:effectExtent b="0" l="0" r="0" t="0"/>
            <wp:wrapSquare wrapText="bothSides" distB="0" distT="0" distL="114300" distR="114300"/>
            <wp:docPr id="17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2394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 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-507999</wp:posOffset>
                </wp:positionH>
                <wp:positionV relativeFrom="paragraph">
                  <wp:posOffset>2197100</wp:posOffset>
                </wp:positionV>
                <wp:extent cx="6143625" cy="1917498"/>
                <wp:effectExtent b="0" l="0" r="0" t="0"/>
                <wp:wrapNone/>
                <wp:docPr id="156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288475" y="2830431"/>
                          <a:ext cx="6115050" cy="18991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72"/>
                                <w:vertAlign w:val="baseline"/>
                              </w:rPr>
                              <w:t xml:space="preserve">Введение в BI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7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48"/>
                                <w:vertAlign w:val="baseline"/>
                              </w:rPr>
                              <w:t xml:space="preserve">Методичка к уроку </w:t>
                            </w: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48"/>
                                <w:vertAlign w:val="baseline"/>
                              </w:rPr>
                              <w:t xml:space="preserve">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48"/>
                                <w:vertAlign w:val="baseline"/>
                              </w:rPr>
                              <w:t xml:space="preserve">Создание дашборда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4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-507999</wp:posOffset>
                </wp:positionH>
                <wp:positionV relativeFrom="paragraph">
                  <wp:posOffset>2197100</wp:posOffset>
                </wp:positionV>
                <wp:extent cx="6143625" cy="1917498"/>
                <wp:effectExtent b="0" l="0" r="0" t="0"/>
                <wp:wrapNone/>
                <wp:docPr id="15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43625" cy="191749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keepLines w:val="1"/>
        <w:spacing w:after="280" w:before="280" w:line="276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spacing w:after="280" w:before="280" w:line="276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spacing w:after="280" w:before="280" w:line="276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1"/>
        <w:spacing w:after="280" w:before="280" w:line="276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1"/>
        <w:spacing w:after="280" w:before="280" w:line="276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keepLines w:val="1"/>
        <w:spacing w:after="280" w:before="280" w:line="276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1016.3999999999999" w:hRule="atLeast"/>
          <w:tblHeader w:val="0"/>
        </w:trPr>
        <w:tc>
          <w:tcPr>
            <w:shd w:fill="e3fae2" w:val="clear"/>
          </w:tcPr>
          <w:p w:rsidR="00000000" w:rsidDel="00000000" w:rsidP="00000000" w:rsidRDefault="00000000" w:rsidRPr="00000000" w14:paraId="00000010">
            <w:pPr>
              <w:spacing w:line="276" w:lineRule="auto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keepNext w:val="1"/>
        <w:keepLines w:val="1"/>
        <w:spacing w:after="280" w:before="280" w:line="276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Fonts w:ascii="IBM Plex Sans" w:cs="IBM Plex Sans" w:eastAsia="IBM Plex Sans" w:hAnsi="IBM Plex Sans"/>
          <w:sz w:val="44"/>
          <w:szCs w:val="44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tabs>
              <w:tab w:val="right" w:pos="9354.511811023624"/>
            </w:tabs>
            <w:spacing w:before="80" w:line="240" w:lineRule="auto"/>
            <w:ind w:left="360" w:firstLine="0"/>
            <w:rPr>
              <w:rFonts w:ascii="IBM Plex Sans" w:cs="IBM Plex Sans" w:eastAsia="IBM Plex Sans" w:hAnsi="IBM Plex Sans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ooo1cqlj2rml">
            <w:r w:rsidDel="00000000" w:rsidR="00000000" w:rsidRPr="00000000">
              <w:rPr>
                <w:rFonts w:ascii="IBM Plex Sans" w:cs="IBM Plex Sans" w:eastAsia="IBM Plex Sans" w:hAnsi="IBM Plex San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Компоненты PowerBI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_heading=h.ooo1cqlj2rml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IBM Plex Sans" w:cs="IBM Plex Sans" w:eastAsia="IBM Plex Sans" w:hAnsi="IBM Plex Sans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r1xtjv6jl2y">
            <w:r w:rsidDel="00000000" w:rsidR="00000000" w:rsidRPr="00000000">
              <w:rPr>
                <w:rFonts w:ascii="IBM Plex Sans" w:cs="IBM Plex Sans" w:eastAsia="IBM Plex Sans" w:hAnsi="IBM Plex San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Интерфейс PowerBI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_heading=h.lr1xtjv6jl2y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IBM Plex Sans" w:cs="IBM Plex Sans" w:eastAsia="IBM Plex Sans" w:hAnsi="IBM Plex Sans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IBM Plex Sans" w:cs="IBM Plex Sans" w:eastAsia="IBM Plex Sans" w:hAnsi="IBM Plex Sans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Базовые правила оформления дашборда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s" w:cs="IBM Plex Sans" w:eastAsia="IBM Plex Sans" w:hAnsi="IBM Plex San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Изменение формата страницы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s" w:cs="IBM Plex Sans" w:eastAsia="IBM Plex Sans" w:hAnsi="IBM Plex San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Создание ссылок внутри отчёта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54.511811023624"/>
            </w:tabs>
            <w:spacing w:after="80" w:before="200" w:line="240" w:lineRule="auto"/>
            <w:ind w:left="0" w:firstLine="0"/>
            <w:rPr>
              <w:rFonts w:ascii="IBM Plex Sans" w:cs="IBM Plex Sans" w:eastAsia="IBM Plex Sans" w:hAnsi="IBM Plex San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6gvpg8d2unac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Обратите внимание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_heading=h.6gvpg8d2unac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rPr>
          <w:rFonts w:ascii="IBM Plex Sans" w:cs="IBM Plex Sans" w:eastAsia="IBM Plex Sans" w:hAnsi="IBM Plex Sans"/>
          <w:sz w:val="44"/>
          <w:szCs w:val="44"/>
        </w:rPr>
      </w:pPr>
      <w:bookmarkStart w:colFirst="0" w:colLast="0" w:name="_heading=h.h0kt3vyj3qpt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IBM Plex Sans" w:cs="IBM Plex Sans" w:eastAsia="IBM Plex Sans" w:hAnsi="IBM Plex Sans"/>
          <w:sz w:val="48"/>
          <w:szCs w:val="48"/>
        </w:rPr>
      </w:pPr>
      <w:bookmarkStart w:colFirst="0" w:colLast="0" w:name="_heading=h.e1ww5mjf8m1" w:id="1"/>
      <w:bookmarkEnd w:id="1"/>
      <w:r w:rsidDel="00000000" w:rsidR="00000000" w:rsidRPr="00000000">
        <w:rPr>
          <w:rFonts w:ascii="IBM Plex Sans" w:cs="IBM Plex Sans" w:eastAsia="IBM Plex Sans" w:hAnsi="IBM Plex Sans"/>
          <w:sz w:val="44"/>
          <w:szCs w:val="44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На этой лекции вы найдете ответы на такие вопросы как / узнаете:</w:t>
      </w:r>
    </w:p>
    <w:p w:rsidR="00000000" w:rsidDel="00000000" w:rsidP="00000000" w:rsidRDefault="00000000" w:rsidRPr="00000000" w14:paraId="0000001D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380" w:hanging="360"/>
        <w:jc w:val="left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Блоки управления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4"/>
        </w:numPr>
        <w:spacing w:after="200" w:line="276" w:lineRule="auto"/>
        <w:ind w:left="720" w:right="38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Расположение фильтров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4"/>
        </w:numPr>
        <w:spacing w:after="200" w:line="276" w:lineRule="auto"/>
        <w:ind w:left="720" w:right="38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Ссылки внутри отчета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4"/>
        </w:numPr>
        <w:spacing w:after="200" w:line="276" w:lineRule="auto"/>
        <w:ind w:left="720" w:right="38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Кнопки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4"/>
        </w:numPr>
        <w:spacing w:after="200" w:line="276" w:lineRule="auto"/>
        <w:ind w:left="720" w:right="38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Изменение размера дашборда</w:t>
      </w:r>
    </w:p>
    <w:p w:rsidR="00000000" w:rsidDel="00000000" w:rsidP="00000000" w:rsidRDefault="00000000" w:rsidRPr="00000000" w14:paraId="00000023">
      <w:pPr>
        <w:widowControl w:val="0"/>
        <w:spacing w:after="200" w:line="276" w:lineRule="auto"/>
        <w:ind w:left="0" w:right="380" w:firstLine="0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76" w:lineRule="auto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before="200" w:line="360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spacing w:after="0" w:before="0" w:line="276" w:lineRule="auto"/>
        <w:rPr>
          <w:rFonts w:ascii="IBM Plex Sans" w:cs="IBM Plex Sans" w:eastAsia="IBM Plex Sans" w:hAnsi="IBM Plex Sans"/>
          <w:color w:val="434343"/>
          <w:sz w:val="20"/>
          <w:szCs w:val="20"/>
        </w:rPr>
      </w:pPr>
      <w:bookmarkStart w:colFirst="0" w:colLast="0" w:name="_heading=h.ooo1cqlj2rml" w:id="2"/>
      <w:bookmarkEnd w:id="2"/>
      <w:r w:rsidDel="00000000" w:rsidR="00000000" w:rsidRPr="00000000">
        <w:rPr>
          <w:rFonts w:ascii="IBM Plex Sans" w:cs="IBM Plex Sans" w:eastAsia="IBM Plex Sans" w:hAnsi="IBM Plex Sans"/>
          <w:color w:val="434343"/>
          <w:sz w:val="20"/>
          <w:szCs w:val="20"/>
          <w:rtl w:val="0"/>
        </w:rPr>
        <w:t xml:space="preserve">Компоненты PowerBI</w:t>
      </w:r>
    </w:p>
    <w:p w:rsidR="00000000" w:rsidDel="00000000" w:rsidP="00000000" w:rsidRDefault="00000000" w:rsidRPr="00000000" w14:paraId="00000027">
      <w:pPr>
        <w:pStyle w:val="Subtitle"/>
        <w:spacing w:before="0" w:lineRule="auto"/>
        <w:rPr>
          <w:rFonts w:ascii="IBM Plex Sans" w:cs="IBM Plex Sans" w:eastAsia="IBM Plex Sans" w:hAnsi="IBM Plex Sans"/>
          <w:i w:val="0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Subtitle"/>
        <w:spacing w:before="0" w:lineRule="auto"/>
        <w:rPr>
          <w:rFonts w:ascii="IBM Plex Sans" w:cs="IBM Plex Sans" w:eastAsia="IBM Plex Sans" w:hAnsi="IBM Plex Sans"/>
          <w:b w:val="1"/>
          <w:i w:val="0"/>
          <w:color w:val="00000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color w:val="000000"/>
          <w:sz w:val="20"/>
          <w:szCs w:val="20"/>
          <w:rtl w:val="0"/>
        </w:rPr>
        <w:t xml:space="preserve">PowerBI Desktop</w:t>
      </w:r>
    </w:p>
    <w:p w:rsidR="00000000" w:rsidDel="00000000" w:rsidP="00000000" w:rsidRDefault="00000000" w:rsidRPr="00000000" w14:paraId="00000029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Основной инструмент разработчика – это </w:t>
      </w: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0"/>
          <w:szCs w:val="20"/>
          <w:rtl w:val="0"/>
        </w:rPr>
        <w:t xml:space="preserve">PowerBI Desktop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. Обычное приложение для Microsoft Windows. Версий для других операционных систе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м (MacOS, Linux) 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на данный момент не существует. Для работы на этих устройствах необходимо установить Windows, например через Parallels.</w:t>
      </w:r>
    </w:p>
    <w:p w:rsidR="00000000" w:rsidDel="00000000" w:rsidP="00000000" w:rsidRDefault="00000000" w:rsidRPr="00000000" w14:paraId="0000002A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</w:rPr>
        <w:drawing>
          <wp:inline distB="0" distT="0" distL="0" distR="0">
            <wp:extent cx="5940115" cy="4051300"/>
            <wp:effectExtent b="0" l="0" r="0" t="0"/>
            <wp:docPr id="16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В PowerBI Desktop осуществляется подключение к источникам данных, очистка и подготовка данных, создание модели данных, написание мер и создание визуализаций.</w:t>
      </w:r>
    </w:p>
    <w:p w:rsidR="00000000" w:rsidDel="00000000" w:rsidP="00000000" w:rsidRDefault="00000000" w:rsidRPr="00000000" w14:paraId="0000002C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0"/>
          <w:szCs w:val="20"/>
          <w:rtl w:val="0"/>
        </w:rPr>
        <w:t xml:space="preserve">Внимание!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i w:val="1"/>
          <w:color w:val="2c2d30"/>
          <w:sz w:val="20"/>
          <w:szCs w:val="20"/>
          <w:rtl w:val="0"/>
        </w:rPr>
        <w:t xml:space="preserve">PowerBI Desktop абсолютно бесплатен и не требует регистрации учетной записи. Для выполнения всех домашних заданий будет достаточно только этого компонента. Скачать и установить PowerBI Desktop можно из Microsoft Store или по </w:t>
      </w:r>
      <w:hyperlink r:id="rId12">
        <w:r w:rsidDel="00000000" w:rsidR="00000000" w:rsidRPr="00000000">
          <w:rPr>
            <w:rFonts w:ascii="IBM Plex Sans" w:cs="IBM Plex Sans" w:eastAsia="IBM Plex Sans" w:hAnsi="IBM Plex Sans"/>
            <w:i w:val="1"/>
            <w:color w:val="0000ff"/>
            <w:sz w:val="20"/>
            <w:szCs w:val="20"/>
            <w:u w:val="single"/>
            <w:rtl w:val="0"/>
          </w:rPr>
          <w:t xml:space="preserve">ссылке</w:t>
        </w:r>
      </w:hyperlink>
      <w:r w:rsidDel="00000000" w:rsidR="00000000" w:rsidRPr="00000000">
        <w:rPr>
          <w:rFonts w:ascii="IBM Plex Sans" w:cs="IBM Plex Sans" w:eastAsia="IBM Plex Sans" w:hAnsi="IBM Plex Sans"/>
          <w:i w:val="1"/>
          <w:color w:val="2c2d30"/>
          <w:sz w:val="20"/>
          <w:szCs w:val="20"/>
          <w:rtl w:val="0"/>
        </w:rPr>
        <w:t xml:space="preserve">. Если у вас версия Windows ниже версии 8.1, то можно скачать любую версию PowerBI Desktop до декабря 2020 года по </w:t>
      </w:r>
      <w:hyperlink r:id="rId13">
        <w:r w:rsidDel="00000000" w:rsidR="00000000" w:rsidRPr="00000000">
          <w:rPr>
            <w:rFonts w:ascii="IBM Plex Sans" w:cs="IBM Plex Sans" w:eastAsia="IBM Plex Sans" w:hAnsi="IBM Plex Sans"/>
            <w:i w:val="1"/>
            <w:color w:val="0000ff"/>
            <w:sz w:val="20"/>
            <w:szCs w:val="20"/>
            <w:u w:val="single"/>
            <w:rtl w:val="0"/>
          </w:rPr>
          <w:t xml:space="preserve">ссылке</w:t>
        </w:r>
      </w:hyperlink>
      <w:r w:rsidDel="00000000" w:rsidR="00000000" w:rsidRPr="00000000">
        <w:rPr>
          <w:rFonts w:ascii="IBM Plex Sans" w:cs="IBM Plex Sans" w:eastAsia="IBM Plex Sans" w:hAnsi="IBM Plex Sans"/>
          <w:i w:val="1"/>
          <w:color w:val="2c2d30"/>
          <w:sz w:val="20"/>
          <w:szCs w:val="20"/>
          <w:rtl w:val="0"/>
        </w:rPr>
        <w:t xml:space="preserve">, т.к. с января 2021 года Windows 7 не поддерживается. Для тех, кто работает на компьютерах с MacOS, </w:t>
      </w:r>
      <w:hyperlink r:id="rId14">
        <w:r w:rsidDel="00000000" w:rsidR="00000000" w:rsidRPr="00000000">
          <w:rPr>
            <w:rFonts w:ascii="IBM Plex Sans" w:cs="IBM Plex Sans" w:eastAsia="IBM Plex Sans" w:hAnsi="IBM Plex Sans"/>
            <w:i w:val="1"/>
            <w:color w:val="0000ff"/>
            <w:sz w:val="20"/>
            <w:szCs w:val="20"/>
            <w:u w:val="single"/>
            <w:rtl w:val="0"/>
          </w:rPr>
          <w:t xml:space="preserve">инструкция по установке</w:t>
        </w:r>
      </w:hyperlink>
      <w:r w:rsidDel="00000000" w:rsidR="00000000" w:rsidRPr="00000000">
        <w:rPr>
          <w:rFonts w:ascii="IBM Plex Sans" w:cs="IBM Plex Sans" w:eastAsia="IBM Plex Sans" w:hAnsi="IBM Plex Sans"/>
          <w:i w:val="1"/>
          <w:color w:val="2c2d30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Subtitle"/>
        <w:spacing w:before="0" w:lineRule="auto"/>
        <w:rPr>
          <w:rFonts w:ascii="IBM Plex Sans" w:cs="IBM Plex Sans" w:eastAsia="IBM Plex Sans" w:hAnsi="IBM Plex Sans"/>
          <w:b w:val="1"/>
          <w:i w:val="0"/>
          <w:color w:val="00000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i w:val="0"/>
          <w:color w:val="000000"/>
          <w:sz w:val="20"/>
          <w:szCs w:val="20"/>
          <w:rtl w:val="0"/>
        </w:rPr>
        <w:t xml:space="preserve">Служба PowerBI</w:t>
      </w:r>
    </w:p>
    <w:p w:rsidR="00000000" w:rsidDel="00000000" w:rsidP="00000000" w:rsidRDefault="00000000" w:rsidRPr="00000000" w14:paraId="0000002E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Для совместной работы 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требуется регистрация в веб-службе SaaS.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 В зависимости от типа лицензии учетной записи будут доступны те или иные инструменты для работы с данными.</w:t>
      </w:r>
    </w:p>
    <w:p w:rsidR="00000000" w:rsidDel="00000000" w:rsidP="00000000" w:rsidRDefault="00000000" w:rsidRPr="00000000" w14:paraId="0000002F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После регистрации и назначения лицензии, учетной записи выделяется ёмкость – набор ресурсов для размещения и работы с данными PowerBI. Ёмкости делятся на два типа: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Общая – используется всеми пользователями Microsoft (типы лицензий: Free, Pro, PPU)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Выделенная – предназначена для одного клиента с Premium лицензией</w:t>
      </w:r>
    </w:p>
    <w:p w:rsidR="00000000" w:rsidDel="00000000" w:rsidP="00000000" w:rsidRDefault="00000000" w:rsidRPr="00000000" w14:paraId="00000033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От типа ёмкости и типа подписки зависит производительность публикуемых отчётов.</w:t>
      </w:r>
    </w:p>
    <w:p w:rsidR="00000000" w:rsidDel="00000000" w:rsidP="00000000" w:rsidRDefault="00000000" w:rsidRPr="00000000" w14:paraId="00000034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Публикация, администрирование и создание происходит в Рабочей области, которая также делится на два типа: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Моя рабочая область – предназначена для индивидуальной работы с содержимым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Рабочие области – необходимы для совместного использования наборов данных. Все участники должны иметь лицензию Pro или выше.</w:t>
      </w:r>
    </w:p>
    <w:p w:rsidR="00000000" w:rsidDel="00000000" w:rsidP="00000000" w:rsidRDefault="00000000" w:rsidRPr="00000000" w14:paraId="00000037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</w:rPr>
        <w:drawing>
          <wp:inline distB="0" distT="0" distL="0" distR="0">
            <wp:extent cx="5940115" cy="2895600"/>
            <wp:effectExtent b="0" l="0" r="0" t="0"/>
            <wp:docPr descr="Изображение выглядит как текст&#10;&#10;Автоматически созданное описание" id="175" name="image21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При публикации отчёта в службе PowerBI в рабочей области создаётся Набор данных.</w:t>
      </w:r>
    </w:p>
    <w:p w:rsidR="00000000" w:rsidDel="00000000" w:rsidP="00000000" w:rsidRDefault="00000000" w:rsidRPr="00000000" w14:paraId="00000039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Набор данных содержит все данные и источники, которые вы импортировали или к которым подключились при разработке отчёта. При этом сами наборы данных, также могут выступать источниками данных из потоков данных.</w:t>
      </w:r>
    </w:p>
    <w:p w:rsidR="00000000" w:rsidDel="00000000" w:rsidP="00000000" w:rsidRDefault="00000000" w:rsidRPr="00000000" w14:paraId="0000003A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</w:rPr>
        <w:drawing>
          <wp:inline distB="0" distT="0" distL="0" distR="0">
            <wp:extent cx="5940115" cy="3352800"/>
            <wp:effectExtent b="0" l="0" r="0" t="0"/>
            <wp:docPr id="16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Набор данных, опубликованный в рабочей области, доступен участникам с ролями: Администратор, Член или Участник.</w:t>
      </w:r>
    </w:p>
    <w:p w:rsidR="00000000" w:rsidDel="00000000" w:rsidP="00000000" w:rsidRDefault="00000000" w:rsidRPr="00000000" w14:paraId="0000003C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На основе наборов данных строятся отчёты – это одна или несколько страниц визуализаций: графики, карточки, диаграммы, таблицы.</w:t>
      </w:r>
    </w:p>
    <w:p w:rsidR="00000000" w:rsidDel="00000000" w:rsidP="00000000" w:rsidRDefault="00000000" w:rsidRPr="00000000" w14:paraId="0000003D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Все опубликованные отчёты можно увидеть на отдельной вкладке в рабочей области</w:t>
      </w:r>
    </w:p>
    <w:p w:rsidR="00000000" w:rsidDel="00000000" w:rsidP="00000000" w:rsidRDefault="00000000" w:rsidRPr="00000000" w14:paraId="0000003E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</w:rPr>
        <w:drawing>
          <wp:inline distB="0" distT="0" distL="0" distR="0">
            <wp:extent cx="5940115" cy="3098800"/>
            <wp:effectExtent b="0" l="0" r="0" t="0"/>
            <wp:docPr id="17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В зависимости от разрешений для учетной записи доступен просмотр отчётов или в режиме чтения, или в режиме правки. Для перехода в режим правки из режима чтения необходимо нажать соответствующую кнопку.</w:t>
      </w:r>
    </w:p>
    <w:p w:rsidR="00000000" w:rsidDel="00000000" w:rsidP="00000000" w:rsidRDefault="00000000" w:rsidRPr="00000000" w14:paraId="00000040">
      <w:pPr>
        <w:pStyle w:val="Heading2"/>
        <w:spacing w:after="0" w:before="0" w:line="276" w:lineRule="auto"/>
        <w:rPr>
          <w:rFonts w:ascii="IBM Plex Sans" w:cs="IBM Plex Sans" w:eastAsia="IBM Plex Sans" w:hAnsi="IBM Plex Sans"/>
          <w:color w:val="434343"/>
          <w:sz w:val="20"/>
          <w:szCs w:val="20"/>
        </w:rPr>
      </w:pPr>
      <w:bookmarkStart w:colFirst="0" w:colLast="0" w:name="_heading=h.lr1xtjv6jl2y" w:id="3"/>
      <w:bookmarkEnd w:id="3"/>
      <w:r w:rsidDel="00000000" w:rsidR="00000000" w:rsidRPr="00000000">
        <w:rPr>
          <w:rFonts w:ascii="IBM Plex Sans" w:cs="IBM Plex Sans" w:eastAsia="IBM Plex Sans" w:hAnsi="IBM Plex Sans"/>
          <w:color w:val="434343"/>
          <w:sz w:val="20"/>
          <w:szCs w:val="20"/>
          <w:rtl w:val="0"/>
        </w:rPr>
        <w:t xml:space="preserve">Интерфейс PowerBI</w:t>
      </w:r>
    </w:p>
    <w:p w:rsidR="00000000" w:rsidDel="00000000" w:rsidP="00000000" w:rsidRDefault="00000000" w:rsidRPr="00000000" w14:paraId="00000041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При работе в PowerBI Desktop пользователь взаимодействует со следующими основными элементами: лента, расположенная в верхней части окна и похожая на ленту приложений пакета Microsoft Ofice; панель слоёв отчёта – узкая панель, расположенная слева; панели настроек визуальных элементов, расположенные справа.</w:t>
      </w:r>
    </w:p>
    <w:p w:rsidR="00000000" w:rsidDel="00000000" w:rsidP="00000000" w:rsidRDefault="00000000" w:rsidRPr="00000000" w14:paraId="00000042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</w:rPr>
        <w:drawing>
          <wp:inline distB="0" distT="0" distL="0" distR="0">
            <wp:extent cx="5940115" cy="3251200"/>
            <wp:effectExtent b="0" l="0" r="0" t="0"/>
            <wp:docPr id="16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Лента – на ней расположены все основные инструменты необходимые для создания отчёта: добавление данных, создание мер, создание визуальных элементов, настройка взаимодействия и представления (цветовой темы отчёта).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Панель слоёв отчёта – состоит из трёх кнопок: Отчёт – визуальный слой; Данные – импортированные и вычисляемые таблицы, столбцы; Модель – управление связями в модели данных.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Панель «Фильтры» – дополнительные фильтры, которые устанавливаются как на весь отчёт, так и на отдельные страницы и визуальные элементы. Используется вместо или совместно с визуальным элементом «Срез»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Панель «Выбор» – используется для управления видимостью и выбора визуальных элементов.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spacing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Панель «Синхронизировать срезы» – используется для настройки взаимодействия между визуальным элементом «Срез», расположенных на разных страницах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spacing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Панель «Закладки» – используется для создания сценариев навигации в отчёте.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Панель «Анализатор производительности» – необходима для оптимизации отчёта. Показывает время затрачиваемое на отрисовку и выполнение запросов внутри каждого визуального элемента.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Панель «Поля» – содержит список всех таблиц, полей и мер, которые добавлены или 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созданы в модели данных.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Панель «Визуализации» – служит для добавления визуальных элементов на холст и их дальнейшего форматирования.</w:t>
      </w:r>
    </w:p>
    <w:p w:rsidR="00000000" w:rsidDel="00000000" w:rsidP="00000000" w:rsidRDefault="00000000" w:rsidRPr="00000000" w14:paraId="0000004C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0"/>
          <w:szCs w:val="20"/>
          <w:rtl w:val="0"/>
        </w:rPr>
        <w:t xml:space="preserve">Внимание!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i w:val="1"/>
          <w:color w:val="2c2d30"/>
          <w:sz w:val="20"/>
          <w:szCs w:val="20"/>
          <w:rtl w:val="0"/>
        </w:rPr>
        <w:t xml:space="preserve">По умолчанию активны только панели: «Фильтры», «Визуализации» и «Поля». Для включения остальных панелей необходимо их активировать, перейдя на ленте на вкладку «Представление».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</w:rPr>
        <w:drawing>
          <wp:inline distB="0" distT="0" distL="0" distR="0">
            <wp:extent cx="5940115" cy="698500"/>
            <wp:effectExtent b="0" l="0" r="0" t="0"/>
            <wp:docPr id="16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before="200" w:line="360" w:lineRule="auto"/>
        <w:rPr>
          <w:rFonts w:ascii="IBM Plex Sans" w:cs="IBM Plex Sans" w:eastAsia="IBM Plex Sans" w:hAnsi="IBM Plex Sans"/>
          <w:i w:val="1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color w:val="2c2d30"/>
          <w:sz w:val="20"/>
          <w:szCs w:val="20"/>
          <w:rtl w:val="0"/>
        </w:rPr>
        <w:t xml:space="preserve">Внимание!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i w:val="1"/>
          <w:color w:val="2c2d30"/>
          <w:sz w:val="20"/>
          <w:szCs w:val="20"/>
          <w:rtl w:val="0"/>
        </w:rPr>
        <w:t xml:space="preserve">С версии февраль 2022 по умолчанию включена новая панель «Визуализации». Чтобы перейти к классической версии панели «Визуализации», необходимо на ленте перейти в Файл – Параметры и настройки – Параметры. </w:t>
      </w:r>
    </w:p>
    <w:p w:rsidR="00000000" w:rsidDel="00000000" w:rsidP="00000000" w:rsidRDefault="00000000" w:rsidRPr="00000000" w14:paraId="0000004F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</w:rPr>
        <w:drawing>
          <wp:inline distB="0" distT="0" distL="0" distR="0">
            <wp:extent cx="4290590" cy="3121082"/>
            <wp:effectExtent b="0" l="0" r="0" t="0"/>
            <wp:docPr id="16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0590" cy="3121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Затем в разделе Глобальные – Предварительные версии возможностей – отключить «Новая панель формата»</w:t>
      </w:r>
    </w:p>
    <w:p w:rsidR="00000000" w:rsidDel="00000000" w:rsidP="00000000" w:rsidRDefault="00000000" w:rsidRPr="00000000" w14:paraId="00000051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</w:rPr>
        <w:drawing>
          <wp:inline distB="0" distT="0" distL="0" distR="0">
            <wp:extent cx="3819718" cy="3683016"/>
            <wp:effectExtent b="0" l="0" r="0" t="0"/>
            <wp:docPr descr="Изображение выглядит как текст&#10;&#10;Автоматически созданное описание" id="162" name="image15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718" cy="3683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После чего следует перезагрузить PowerBI Desktop, чтобы изменения вступили в силу.</w:t>
      </w:r>
    </w:p>
    <w:p w:rsidR="00000000" w:rsidDel="00000000" w:rsidP="00000000" w:rsidRDefault="00000000" w:rsidRPr="00000000" w14:paraId="00000053">
      <w:pPr>
        <w:spacing w:line="276" w:lineRule="auto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spacing w:after="200" w:before="200" w:lineRule="auto"/>
        <w:ind w:left="0" w:firstLine="0"/>
        <w:rPr>
          <w:rFonts w:ascii="IBM Plex Sans" w:cs="IBM Plex Sans" w:eastAsia="IBM Plex Sans" w:hAnsi="IBM Plex Sans"/>
          <w:color w:val="2c2d30"/>
          <w:sz w:val="20"/>
          <w:szCs w:val="20"/>
        </w:rPr>
      </w:pPr>
      <w:bookmarkStart w:colFirst="0" w:colLast="0" w:name="_heading=h.z337ya" w:id="4"/>
      <w:bookmarkEnd w:id="4"/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Базовые правила оформления дашборда</w:t>
      </w:r>
    </w:p>
    <w:p w:rsidR="00000000" w:rsidDel="00000000" w:rsidP="00000000" w:rsidRDefault="00000000" w:rsidRPr="00000000" w14:paraId="00000055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Для начала нам нужно рассмотреть 2 ключевых элемента, которые встречаются почти на каждом дашборде – это заголовок и фильтры.</w:t>
      </w:r>
    </w:p>
    <w:p w:rsidR="00000000" w:rsidDel="00000000" w:rsidP="00000000" w:rsidRDefault="00000000" w:rsidRPr="00000000" w14:paraId="00000057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Заголовок – это аналог названия слайда в презентации и содержит короткое описание того, что анализируется в отчете.</w:t>
      </w:r>
    </w:p>
    <w:p w:rsidR="00000000" w:rsidDel="00000000" w:rsidP="00000000" w:rsidRDefault="00000000" w:rsidRPr="00000000" w14:paraId="00000058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Фильтры – это условие, при выборе которого данные в отчете меняются и ограничивается показ данных.</w:t>
      </w:r>
    </w:p>
    <w:p w:rsidR="00000000" w:rsidDel="00000000" w:rsidP="00000000" w:rsidRDefault="00000000" w:rsidRPr="00000000" w14:paraId="00000059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На примере отчета KPMG мы видим, что заголовок расположен вверху по центру и крупно, а фильтр слева и для них выделена почти вся высота отчета. Такой формат подходит, когда у нас в отчете не много данных и много потенциально свободного места. Это один из наиболее распространенных подходов к визуализации, когда верх выделяют под заголовок, а левую или правую часть для фильтров.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</w:rPr>
        <w:drawing>
          <wp:inline distB="0" distT="0" distL="0" distR="0">
            <wp:extent cx="5940115" cy="3340100"/>
            <wp:effectExtent b="0" l="0" r="0" t="0"/>
            <wp:docPr id="17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На примере отчета по загруженности команды BI из Jira мы видим, что и заголовок и фильтры вынесены вверх отчета, а фильтры используются только раскрывающиеся. Этот подход помогает экономить место в отчете и хорошо помогает расположить остальные элементы, особенно если их много. Нужно учитывать, что в таком вариант можно расположить ограниченное количество фильтров. Если нам понадобится добавить еще 1 фильтр, то он, вероятно уже не поместится и нужно придумывать новое построение отчета.</w:t>
      </w:r>
    </w:p>
    <w:p w:rsidR="00000000" w:rsidDel="00000000" w:rsidP="00000000" w:rsidRDefault="00000000" w:rsidRPr="00000000" w14:paraId="00000061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</w:rPr>
        <w:drawing>
          <wp:inline distB="0" distT="0" distL="0" distR="0">
            <wp:extent cx="5940115" cy="1384300"/>
            <wp:effectExtent b="0" l="0" r="0" t="0"/>
            <wp:docPr id="16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3"/>
                    <a:srcRect b="585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На примере отчета по проектам мы видим, что заголовок небольшой и расположен вверху в отдельной строке, а сразу под ним расположены фильтры. Как мы видим в данном отчете большинство фильтров состоят из двух вариантов, поэтому такое расположение актуально.</w:t>
      </w:r>
    </w:p>
    <w:p w:rsidR="00000000" w:rsidDel="00000000" w:rsidP="00000000" w:rsidRDefault="00000000" w:rsidRPr="00000000" w14:paraId="00000063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</w:rPr>
        <w:drawing>
          <wp:inline distB="0" distT="0" distL="0" distR="0">
            <wp:extent cx="5940115" cy="1727200"/>
            <wp:effectExtent b="0" l="0" r="0" t="0"/>
            <wp:docPr id="16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keepNext w:val="1"/>
        <w:keepLines w:val="1"/>
        <w:spacing w:before="400" w:lineRule="auto"/>
        <w:rPr>
          <w:rFonts w:ascii="IBM Plex Sans" w:cs="IBM Plex Sans" w:eastAsia="IBM Plex Sans" w:hAnsi="IBM Plex Sans"/>
          <w:sz w:val="36"/>
          <w:szCs w:val="36"/>
        </w:rPr>
      </w:pPr>
      <w:bookmarkStart w:colFirst="0" w:colLast="0" w:name="_heading=h.1t3h5sf" w:id="5"/>
      <w:bookmarkEnd w:id="5"/>
      <w:r w:rsidDel="00000000" w:rsidR="00000000" w:rsidRPr="00000000">
        <w:rPr>
          <w:rFonts w:ascii="IBM Plex Sans" w:cs="IBM Plex Sans" w:eastAsia="IBM Plex Sans" w:hAnsi="IBM Plex Sans"/>
          <w:sz w:val="36"/>
          <w:szCs w:val="36"/>
          <w:rtl w:val="0"/>
        </w:rPr>
        <w:t xml:space="preserve">Изменение формата страницы</w:t>
      </w:r>
    </w:p>
    <w:p w:rsidR="00000000" w:rsidDel="00000000" w:rsidP="00000000" w:rsidRDefault="00000000" w:rsidRPr="00000000" w14:paraId="00000065">
      <w:pPr>
        <w:spacing w:after="200"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Когда у нас не выбран визуальных элемент, мы можем менять формат страницы через вкладку «Формат» под «Визуализациями»:</w:t>
      </w:r>
    </w:p>
    <w:p w:rsidR="00000000" w:rsidDel="00000000" w:rsidP="00000000" w:rsidRDefault="00000000" w:rsidRPr="00000000" w14:paraId="00000066">
      <w:pPr>
        <w:spacing w:after="200" w:before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</w:rPr>
        <w:drawing>
          <wp:inline distB="0" distT="0" distL="0" distR="0">
            <wp:extent cx="2495177" cy="4401522"/>
            <wp:effectExtent b="0" l="0" r="0" t="0"/>
            <wp:docPr id="17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177" cy="4401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Здесь можно менять фон и формат области фильтров. Но чаще всего будет пригождаться изменение размера отчёта.</w:t>
      </w:r>
    </w:p>
    <w:p w:rsidR="00000000" w:rsidDel="00000000" w:rsidP="00000000" w:rsidRDefault="00000000" w:rsidRPr="00000000" w14:paraId="00000068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36"/>
          <w:szCs w:val="36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Если не получается вместить всё, что нужно, в одну страницу, то можно увеличить её размер или пропорции.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keepNext w:val="1"/>
        <w:keepLines w:val="1"/>
        <w:spacing w:before="400" w:lineRule="auto"/>
        <w:rPr>
          <w:rFonts w:ascii="IBM Plex Sans" w:cs="IBM Plex Sans" w:eastAsia="IBM Plex Sans" w:hAnsi="IBM Plex Sans"/>
          <w:sz w:val="36"/>
          <w:szCs w:val="36"/>
        </w:rPr>
      </w:pPr>
      <w:bookmarkStart w:colFirst="0" w:colLast="0" w:name="_heading=h.17dp8vu" w:id="6"/>
      <w:bookmarkEnd w:id="6"/>
      <w:r w:rsidDel="00000000" w:rsidR="00000000" w:rsidRPr="00000000">
        <w:rPr>
          <w:rFonts w:ascii="IBM Plex Sans" w:cs="IBM Plex Sans" w:eastAsia="IBM Plex Sans" w:hAnsi="IBM Plex Sans"/>
          <w:sz w:val="36"/>
          <w:szCs w:val="36"/>
          <w:rtl w:val="0"/>
        </w:rPr>
        <w:t xml:space="preserve">Создание ссылок внутри отчёта</w:t>
      </w:r>
    </w:p>
    <w:p w:rsidR="00000000" w:rsidDel="00000000" w:rsidP="00000000" w:rsidRDefault="00000000" w:rsidRPr="00000000" w14:paraId="0000006A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Для некоторых элементов (кнопок, фигур, изображений) можно настроить действие, чтобы при клике пользователь переходил на другой элемент отчёта. Это добавляет интерактивности.</w:t>
      </w:r>
    </w:p>
    <w:p w:rsidR="00000000" w:rsidDel="00000000" w:rsidP="00000000" w:rsidRDefault="00000000" w:rsidRPr="00000000" w14:paraId="0000006B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before="200" w:line="360" w:lineRule="auto"/>
        <w:jc w:val="both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before="200" w:line="360" w:lineRule="auto"/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3505200</wp:posOffset>
            </wp:positionH>
            <wp:positionV relativeFrom="paragraph">
              <wp:posOffset>123825</wp:posOffset>
            </wp:positionV>
            <wp:extent cx="2600325" cy="3133725"/>
            <wp:effectExtent b="0" l="0" r="0" t="0"/>
            <wp:wrapNone/>
            <wp:docPr id="15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133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123825</wp:posOffset>
            </wp:positionV>
            <wp:extent cx="2486025" cy="2847975"/>
            <wp:effectExtent b="0" l="0" r="0" t="0"/>
            <wp:wrapNone/>
            <wp:docPr id="16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847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spacing w:after="200" w:before="200" w:line="360" w:lineRule="auto"/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before="200" w:line="360" w:lineRule="auto"/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before="200" w:line="360" w:lineRule="auto"/>
        <w:rPr>
          <w:rFonts w:ascii="IBM Plex Sans" w:cs="IBM Plex Sans" w:eastAsia="IBM Plex Sans" w:hAnsi="IBM Plex Sans"/>
          <w:color w:val="0000ff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2527300</wp:posOffset>
                </wp:positionH>
                <wp:positionV relativeFrom="paragraph">
                  <wp:posOffset>0</wp:posOffset>
                </wp:positionV>
                <wp:extent cx="786765" cy="619125"/>
                <wp:effectExtent b="0" l="0" r="0" t="0"/>
                <wp:wrapNone/>
                <wp:docPr id="15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957380" y="3475200"/>
                          <a:ext cx="777240" cy="6096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6E32E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2527300</wp:posOffset>
                </wp:positionH>
                <wp:positionV relativeFrom="paragraph">
                  <wp:posOffset>0</wp:posOffset>
                </wp:positionV>
                <wp:extent cx="786765" cy="619125"/>
                <wp:effectExtent b="0" l="0" r="0" t="0"/>
                <wp:wrapNone/>
                <wp:docPr id="155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765" cy="619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2">
      <w:pPr>
        <w:pStyle w:val="Heading1"/>
        <w:keepNext w:val="1"/>
        <w:keepLines w:val="1"/>
        <w:spacing w:before="400" w:lineRule="auto"/>
        <w:rPr>
          <w:rFonts w:ascii="IBM Plex Sans" w:cs="IBM Plex Sans" w:eastAsia="IBM Plex Sans" w:hAnsi="IBM Plex Sans"/>
          <w:b w:val="0"/>
          <w:sz w:val="36"/>
          <w:szCs w:val="36"/>
        </w:rPr>
      </w:pPr>
      <w:bookmarkStart w:colFirst="0" w:colLast="0" w:name="_heading=h.3rdcrjn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keepNext w:val="1"/>
        <w:keepLines w:val="1"/>
        <w:spacing w:before="400" w:lineRule="auto"/>
        <w:rPr>
          <w:rFonts w:ascii="IBM Plex Sans" w:cs="IBM Plex Sans" w:eastAsia="IBM Plex Sans" w:hAnsi="IBM Plex Sans"/>
          <w:b w:val="0"/>
          <w:sz w:val="36"/>
          <w:szCs w:val="36"/>
        </w:rPr>
      </w:pPr>
      <w:bookmarkStart w:colFirst="0" w:colLast="0" w:name="_heading=h.441y0wf2n8y0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keepNext w:val="1"/>
        <w:keepLines w:val="1"/>
        <w:spacing w:before="400" w:lineRule="auto"/>
        <w:rPr>
          <w:rFonts w:ascii="IBM Plex Sans" w:cs="IBM Plex Sans" w:eastAsia="IBM Plex Sans" w:hAnsi="IBM Plex Sans"/>
          <w:b w:val="0"/>
          <w:sz w:val="36"/>
          <w:szCs w:val="36"/>
        </w:rPr>
      </w:pPr>
      <w:bookmarkStart w:colFirst="0" w:colLast="0" w:name="_heading=h.to60b4lvg33o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keepNext w:val="1"/>
        <w:keepLines w:val="1"/>
        <w:spacing w:before="400" w:lineRule="auto"/>
        <w:rPr>
          <w:rFonts w:ascii="IBM Plex Sans" w:cs="IBM Plex Sans" w:eastAsia="IBM Plex Sans" w:hAnsi="IBM Plex Sans"/>
          <w:sz w:val="36"/>
          <w:szCs w:val="36"/>
        </w:rPr>
      </w:pPr>
      <w:bookmarkStart w:colFirst="0" w:colLast="0" w:name="_heading=h.6gvpg8d2unac" w:id="10"/>
      <w:bookmarkEnd w:id="10"/>
      <w:r w:rsidDel="00000000" w:rsidR="00000000" w:rsidRPr="00000000">
        <w:rPr>
          <w:rFonts w:ascii="IBM Plex Sans" w:cs="IBM Plex Sans" w:eastAsia="IBM Plex Sans" w:hAnsi="IBM Plex Sans"/>
          <w:sz w:val="36"/>
          <w:szCs w:val="36"/>
          <w:rtl w:val="0"/>
        </w:rPr>
        <w:t xml:space="preserve">Обратите внимание</w:t>
      </w:r>
    </w:p>
    <w:p w:rsidR="00000000" w:rsidDel="00000000" w:rsidP="00000000" w:rsidRDefault="00000000" w:rsidRPr="00000000" w14:paraId="00000078">
      <w:pPr>
        <w:spacing w:after="200" w:before="200" w:line="360" w:lineRule="auto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В Power BI есть некоторые особенности, которые часто являются проблемными на этапе создания дашборда: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200" w:before="200" w:line="360" w:lineRule="auto"/>
        <w:ind w:left="720" w:hanging="360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Форматы дат: по умолчанию ставится «‎Иерархия дат». Её нужно поменять на «‎Date», так как иначе данные будут суммироваться по каждому дню: например, 1 января + 1 февраля. Иерархия подходит, когда нам нужно суммировать периоды: кварталы разных лет или месяцы. </w:t>
      </w:r>
    </w:p>
    <w:p w:rsidR="00000000" w:rsidDel="00000000" w:rsidP="00000000" w:rsidRDefault="00000000" w:rsidRPr="00000000" w14:paraId="0000007A">
      <w:pPr>
        <w:spacing w:after="200" w:before="200" w:line="360" w:lineRule="auto"/>
        <w:ind w:left="360" w:firstLine="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</w:rPr>
        <w:drawing>
          <wp:inline distB="0" distT="0" distL="0" distR="0">
            <wp:extent cx="3429000" cy="2590800"/>
            <wp:effectExtent b="0" l="0" r="0" t="0"/>
            <wp:docPr id="15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after="0" w:afterAutospacing="0" w:before="200" w:line="360" w:lineRule="auto"/>
        <w:ind w:left="720" w:hanging="360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Формат чисел: нужно разделять тысячи пробелом - это поможет пользователю быстро понять порядок числе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Визуальные элементы стоит сопровождать метками данных, чтобы пользователю было легче воспринимать информацию и не приходилось оценивать самому или наводить курсор на визуальный элемент - это также повышает нативность и скорость восприятия информации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before="0" w:beforeAutospacing="0" w:line="360" w:lineRule="auto"/>
        <w:ind w:left="720" w:hanging="360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Оставляйте достаточно места для фильтров</w:t>
      </w: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, чтобы можно было уместить достаточное их количество.</w:t>
      </w:r>
    </w:p>
    <w:p w:rsidR="00000000" w:rsidDel="00000000" w:rsidP="00000000" w:rsidRDefault="00000000" w:rsidRPr="00000000" w14:paraId="0000007E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" w:line="240" w:lineRule="auto"/>
        <w:ind w:left="0" w:right="0" w:firstLine="0"/>
        <w:jc w:val="left"/>
        <w:rPr>
          <w:rFonts w:ascii="IBM Plex Sans" w:cs="IBM Plex Sans" w:eastAsia="IBM Plex Sans" w:hAnsi="IBM Plex Sans"/>
          <w:sz w:val="36"/>
          <w:szCs w:val="36"/>
        </w:rPr>
      </w:pPr>
      <w:bookmarkStart w:colFirst="0" w:colLast="0" w:name="_heading=h.v9ggy3fcmllb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" w:line="240" w:lineRule="auto"/>
        <w:ind w:left="0" w:right="0" w:firstLine="0"/>
        <w:jc w:val="left"/>
        <w:rPr>
          <w:rFonts w:ascii="IBM Plex Sans" w:cs="IBM Plex Sans" w:eastAsia="IBM Plex Sans" w:hAnsi="IBM Plex Sans"/>
          <w:color w:val="2c2d30"/>
          <w:sz w:val="20"/>
          <w:szCs w:val="20"/>
        </w:rPr>
      </w:pPr>
      <w:bookmarkStart w:colFirst="0" w:colLast="0" w:name="_heading=h.56ouuwga7exn" w:id="12"/>
      <w:bookmarkEnd w:id="12"/>
      <w:r w:rsidDel="00000000" w:rsidR="00000000" w:rsidRPr="00000000">
        <w:rPr>
          <w:rFonts w:ascii="IBM Plex Sans" w:cs="IBM Plex Sans" w:eastAsia="IBM Plex Sans" w:hAnsi="IBM Plex Sans"/>
          <w:sz w:val="36"/>
          <w:szCs w:val="36"/>
          <w:rtl w:val="0"/>
        </w:rPr>
        <w:t xml:space="preserve">Вывод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200" w:line="360" w:lineRule="auto"/>
        <w:jc w:val="both"/>
        <w:rPr>
          <w:rFonts w:ascii="IBM Plex Sans" w:cs="IBM Plex Sans" w:eastAsia="IBM Plex Sans" w:hAnsi="IBM Plex Sans"/>
          <w:color w:val="2c2d30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2c2d30"/>
          <w:sz w:val="20"/>
          <w:szCs w:val="20"/>
          <w:rtl w:val="0"/>
        </w:rPr>
        <w:t xml:space="preserve">Для того, чтобы создать итоговый дашборд, а не просто разрозненные визуальные элементы, в Power BI есть возможность увеличивать размер дашборда, скрывать и раскрывать элементы, делать всплывающие подсказки и кастомные элементы. Этот функционал позволяет создать итоговый продукт.</w:t>
      </w:r>
    </w:p>
    <w:sectPr>
      <w:headerReference r:id="rId30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2"/>
      <w:tblW w:w="9345.0" w:type="dxa"/>
      <w:jc w:val="left"/>
      <w:tblInd w:w="-108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672"/>
      <w:gridCol w:w="4673"/>
      <w:tblGridChange w:id="0">
        <w:tblGrid>
          <w:gridCol w:w="4672"/>
          <w:gridCol w:w="4673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8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77"/>
              <w:tab w:val="right" w:pos="9355"/>
            </w:tabs>
            <w:spacing w:after="0" w:before="120" w:line="240" w:lineRule="auto"/>
            <w:ind w:left="0" w:right="0" w:firstLine="0"/>
            <w:jc w:val="left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d9d9d9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IBM Plex Sans" w:cs="IBM Plex Sans" w:eastAsia="IBM Plex Sans" w:hAnsi="IBM Plex Sans"/>
              <w:color w:val="d9d9d9"/>
              <w:rtl w:val="0"/>
            </w:rPr>
            <w:t xml:space="preserve">Создание дашборда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8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77"/>
              <w:tab w:val="right" w:pos="9355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0" distR="0">
                <wp:extent cx="291600" cy="291600"/>
                <wp:effectExtent b="0" l="0" r="0" t="0"/>
                <wp:docPr id="16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600" cy="291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link w:val="10"/>
    <w:uiPriority w:val="9"/>
    <w:qFormat w:val="1"/>
    <w:rsid w:val="00416702"/>
    <w:pPr>
      <w:spacing w:after="100" w:afterAutospacing="1" w:before="100" w:beforeAutospacing="1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a4"/>
    <w:uiPriority w:val="99"/>
    <w:unhideWhenUsed w:val="1"/>
    <w:rsid w:val="008717E5"/>
    <w:pPr>
      <w:tabs>
        <w:tab w:val="center" w:pos="4677"/>
        <w:tab w:val="right" w:pos="9355"/>
      </w:tabs>
    </w:pPr>
  </w:style>
  <w:style w:type="character" w:styleId="a4" w:customStyle="1">
    <w:name w:val="Верхний колонтитул Знак"/>
    <w:basedOn w:val="a0"/>
    <w:link w:val="a3"/>
    <w:uiPriority w:val="99"/>
    <w:rsid w:val="008717E5"/>
  </w:style>
  <w:style w:type="paragraph" w:styleId="a5">
    <w:name w:val="footer"/>
    <w:basedOn w:val="a"/>
    <w:link w:val="a6"/>
    <w:uiPriority w:val="99"/>
    <w:unhideWhenUsed w:val="1"/>
    <w:rsid w:val="008717E5"/>
    <w:pPr>
      <w:tabs>
        <w:tab w:val="center" w:pos="4677"/>
        <w:tab w:val="right" w:pos="9355"/>
      </w:tabs>
    </w:pPr>
  </w:style>
  <w:style w:type="character" w:styleId="a6" w:customStyle="1">
    <w:name w:val="Нижний колонтитул Знак"/>
    <w:basedOn w:val="a0"/>
    <w:link w:val="a5"/>
    <w:uiPriority w:val="99"/>
    <w:rsid w:val="008717E5"/>
  </w:style>
  <w:style w:type="paragraph" w:styleId="a7">
    <w:name w:val="List Paragraph"/>
    <w:basedOn w:val="a"/>
    <w:uiPriority w:val="34"/>
    <w:qFormat w:val="1"/>
    <w:rsid w:val="00125FD9"/>
    <w:pPr>
      <w:spacing w:line="276" w:lineRule="auto"/>
      <w:ind w:left="720"/>
      <w:contextualSpacing w:val="1"/>
    </w:pPr>
    <w:rPr>
      <w:rFonts w:ascii="Arial" w:cs="Arial" w:eastAsia="Arial" w:hAnsi="Arial"/>
      <w:sz w:val="22"/>
      <w:szCs w:val="22"/>
      <w:lang w:eastAsia="ru-RU" w:val="ru"/>
    </w:rPr>
  </w:style>
  <w:style w:type="table" w:styleId="a8">
    <w:name w:val="Table Grid"/>
    <w:basedOn w:val="a1"/>
    <w:uiPriority w:val="39"/>
    <w:rsid w:val="002C705D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10" w:customStyle="1">
    <w:name w:val="Заголовок 1 Знак"/>
    <w:basedOn w:val="a0"/>
    <w:link w:val="1"/>
    <w:uiPriority w:val="9"/>
    <w:rsid w:val="00416702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character" w:styleId="emoji" w:customStyle="1">
    <w:name w:val="emoji"/>
    <w:basedOn w:val="a0"/>
    <w:rsid w:val="00416702"/>
  </w:style>
  <w:style w:type="paragraph" w:styleId="a9">
    <w:name w:val="Normal (Web)"/>
    <w:basedOn w:val="a"/>
    <w:uiPriority w:val="99"/>
    <w:semiHidden w:val="1"/>
    <w:unhideWhenUsed w:val="1"/>
    <w:rsid w:val="00A35BE9"/>
    <w:pPr>
      <w:spacing w:after="100" w:afterAutospacing="1" w:before="100" w:beforeAutospacing="1"/>
    </w:pPr>
    <w:rPr>
      <w:rFonts w:ascii="Times New Roman" w:cs="Times New Roman" w:eastAsia="Times New Roman" w:hAnsi="Times New Roman"/>
      <w:lang w:eastAsia="ru-RU"/>
    </w:rPr>
  </w:style>
  <w:style w:type="paragraph" w:styleId="aa">
    <w:name w:val="TOC Heading"/>
    <w:basedOn w:val="1"/>
    <w:next w:val="a"/>
    <w:uiPriority w:val="39"/>
    <w:unhideWhenUsed w:val="1"/>
    <w:qFormat w:val="1"/>
    <w:rsid w:val="00A35BE9"/>
    <w:pPr>
      <w:keepNext w:val="1"/>
      <w:keepLines w:val="1"/>
      <w:spacing w:after="0" w:afterAutospacing="0" w:before="480" w:beforeAutospacing="0" w:line="276" w:lineRule="auto"/>
      <w:outlineLvl w:val="9"/>
    </w:pPr>
    <w:rPr>
      <w:rFonts w:asciiTheme="majorHAnsi" w:cstheme="majorBidi" w:eastAsiaTheme="majorEastAsia" w:hAnsiTheme="majorHAnsi"/>
      <w:color w:val="2f5496" w:themeColor="accent1" w:themeShade="0000BF"/>
      <w:kern w:val="0"/>
      <w:sz w:val="28"/>
      <w:szCs w:val="28"/>
    </w:rPr>
  </w:style>
  <w:style w:type="paragraph" w:styleId="11">
    <w:name w:val="toc 1"/>
    <w:basedOn w:val="a"/>
    <w:next w:val="a"/>
    <w:autoRedefine w:val="1"/>
    <w:uiPriority w:val="39"/>
    <w:unhideWhenUsed w:val="1"/>
    <w:rsid w:val="00A35BE9"/>
    <w:pPr>
      <w:spacing w:before="120"/>
    </w:pPr>
    <w:rPr>
      <w:rFonts w:cstheme="minorHAnsi"/>
      <w:b w:val="1"/>
      <w:bCs w:val="1"/>
      <w:i w:val="1"/>
      <w:iCs w:val="1"/>
    </w:rPr>
  </w:style>
  <w:style w:type="character" w:styleId="ab">
    <w:name w:val="Hyperlink"/>
    <w:basedOn w:val="a0"/>
    <w:uiPriority w:val="99"/>
    <w:unhideWhenUsed w:val="1"/>
    <w:rsid w:val="00A35BE9"/>
    <w:rPr>
      <w:color w:val="0563c1" w:themeColor="hyperlink"/>
      <w:u w:val="single"/>
    </w:rPr>
  </w:style>
  <w:style w:type="paragraph" w:styleId="2">
    <w:name w:val="toc 2"/>
    <w:basedOn w:val="a"/>
    <w:next w:val="a"/>
    <w:autoRedefine w:val="1"/>
    <w:uiPriority w:val="39"/>
    <w:semiHidden w:val="1"/>
    <w:unhideWhenUsed w:val="1"/>
    <w:rsid w:val="00A35BE9"/>
    <w:pPr>
      <w:spacing w:before="120"/>
      <w:ind w:left="240"/>
    </w:pPr>
    <w:rPr>
      <w:rFonts w:cstheme="minorHAnsi"/>
      <w:b w:val="1"/>
      <w:bCs w:val="1"/>
      <w:sz w:val="22"/>
      <w:szCs w:val="22"/>
    </w:rPr>
  </w:style>
  <w:style w:type="paragraph" w:styleId="3">
    <w:name w:val="toc 3"/>
    <w:basedOn w:val="a"/>
    <w:next w:val="a"/>
    <w:autoRedefine w:val="1"/>
    <w:uiPriority w:val="39"/>
    <w:semiHidden w:val="1"/>
    <w:unhideWhenUsed w:val="1"/>
    <w:rsid w:val="00A35BE9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 w:val="1"/>
    <w:uiPriority w:val="39"/>
    <w:semiHidden w:val="1"/>
    <w:unhideWhenUsed w:val="1"/>
    <w:rsid w:val="00A35BE9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 w:val="1"/>
    <w:uiPriority w:val="39"/>
    <w:semiHidden w:val="1"/>
    <w:unhideWhenUsed w:val="1"/>
    <w:rsid w:val="00A35BE9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 w:val="1"/>
    <w:uiPriority w:val="39"/>
    <w:semiHidden w:val="1"/>
    <w:unhideWhenUsed w:val="1"/>
    <w:rsid w:val="00A35BE9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 w:val="1"/>
    <w:uiPriority w:val="39"/>
    <w:semiHidden w:val="1"/>
    <w:unhideWhenUsed w:val="1"/>
    <w:rsid w:val="00A35BE9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 w:val="1"/>
    <w:uiPriority w:val="39"/>
    <w:semiHidden w:val="1"/>
    <w:unhideWhenUsed w:val="1"/>
    <w:rsid w:val="00A35BE9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 w:val="1"/>
    <w:uiPriority w:val="39"/>
    <w:semiHidden w:val="1"/>
    <w:unhideWhenUsed w:val="1"/>
    <w:rsid w:val="00A35BE9"/>
    <w:pPr>
      <w:ind w:left="1920"/>
    </w:pPr>
    <w:rPr>
      <w:rFonts w:cstheme="minorHAnsi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0.png"/><Relationship Id="rId21" Type="http://schemas.openxmlformats.org/officeDocument/2006/relationships/image" Target="media/image15.png"/><Relationship Id="rId24" Type="http://schemas.openxmlformats.org/officeDocument/2006/relationships/image" Target="media/image4.png"/><Relationship Id="rId23" Type="http://schemas.openxmlformats.org/officeDocument/2006/relationships/image" Target="media/image1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8.png"/><Relationship Id="rId25" Type="http://schemas.openxmlformats.org/officeDocument/2006/relationships/image" Target="media/image6.png"/><Relationship Id="rId28" Type="http://schemas.openxmlformats.org/officeDocument/2006/relationships/image" Target="media/image1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0.png"/><Relationship Id="rId7" Type="http://schemas.openxmlformats.org/officeDocument/2006/relationships/image" Target="media/image14.png"/><Relationship Id="rId8" Type="http://schemas.openxmlformats.org/officeDocument/2006/relationships/image" Target="media/image3.png"/><Relationship Id="rId30" Type="http://schemas.openxmlformats.org/officeDocument/2006/relationships/header" Target="header1.xml"/><Relationship Id="rId11" Type="http://schemas.openxmlformats.org/officeDocument/2006/relationships/image" Target="media/image11.png"/><Relationship Id="rId10" Type="http://schemas.openxmlformats.org/officeDocument/2006/relationships/image" Target="media/image16.png"/><Relationship Id="rId13" Type="http://schemas.openxmlformats.org/officeDocument/2006/relationships/hyperlink" Target="https://zenatti.net/2021/09/12/power-bi-2020-versions/" TargetMode="External"/><Relationship Id="rId12" Type="http://schemas.openxmlformats.org/officeDocument/2006/relationships/hyperlink" Target="https://www.microsoft.com/ru-RU/download/details.aspx?id=58494" TargetMode="External"/><Relationship Id="rId15" Type="http://schemas.openxmlformats.org/officeDocument/2006/relationships/image" Target="media/image21.png"/><Relationship Id="rId14" Type="http://schemas.openxmlformats.org/officeDocument/2006/relationships/hyperlink" Target="https://needfordata.ru/blog/polnotsennyj-excel-na-mac-pravila-vyzhivaniya" TargetMode="External"/><Relationship Id="rId17" Type="http://schemas.openxmlformats.org/officeDocument/2006/relationships/image" Target="media/image9.png"/><Relationship Id="rId16" Type="http://schemas.openxmlformats.org/officeDocument/2006/relationships/image" Target="media/image19.png"/><Relationship Id="rId19" Type="http://schemas.openxmlformats.org/officeDocument/2006/relationships/image" Target="media/image13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kn7IewT6wV1BlpspIIA7mIS/bQ==">AMUW2mWgPMarryiYjXBqi31/2D+fGbhGu4gacrcIJHBpgUdjXrKaIn5VGeZrB0URvtjZ2NQ236jNWpSHWwNl26vcIKbOGcxxdk8T0ZmbvoZP0vZ5oSS4XA5ACn1s46dKZ+XxQHa92k5EJjKm0eVyZWh6pEh3vMEraMeVpZVrlruD21h97JGfjzIJ9O6a8XaiUBU5G1tbNagqmpFl/QtsleOCXN6Dny8CqS+p71zKLDbTTEKBFJJxe1VTdW8naVvYsOJYpWCmaFgIGQEOa7Nlqzok185TFpdJzU4vqT4yzrl2jCLBRFLzqu5dUFm/dcsMVfJbhVB7PmZlDzrh6fcEeCNdt5h/KHi6uhqnduwMalSyyoeBmhPqTe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2022-06-25T11:28:00Z</dcterms:created>
  <dc:creator>Кристина Радомская</dc:creator>
</cp:coreProperties>
</file>