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EC79CF" w:rsidRPr="00EC79CF">
        <w:rPr>
          <w:rFonts w:ascii="Times New Roman" w:hAnsi="Times New Roman"/>
          <w:b/>
          <w:sz w:val="17"/>
          <w:szCs w:val="17"/>
          <w:highlight w:val="yellow"/>
        </w:rPr>
        <w:t>${</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tbl>
      <w:tblPr>
        <w:tblStyle w:val="af"/>
        <w:tblW w:w="0" w:type="auto"/>
        <w:tblLook w:val="04A0" w:firstRow="1" w:lastRow="0" w:firstColumn="1" w:lastColumn="0" w:noHBand="0" w:noVBand="1"/>
      </w:tblPr>
      <w:tblGrid>
        <w:gridCol w:w="5310"/>
        <w:gridCol w:w="5311"/>
      </w:tblGrid>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userName</w:t>
            </w:r>
            <w:proofErr w:type="spellEnd"/>
            <w:r w:rsidRPr="00385BB4">
              <w:rPr>
                <w:sz w:val="17"/>
                <w:szCs w:val="17"/>
                <w:lang w:eastAsia="ar-SA"/>
              </w:rPr>
              <w:t>}</w:t>
            </w:r>
          </w:p>
        </w:tc>
      </w:tr>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0C5EF3"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userAddress</w:t>
            </w:r>
            <w:proofErr w:type="spellEnd"/>
            <w:r w:rsidRPr="00385BB4">
              <w:rPr>
                <w:sz w:val="17"/>
                <w:szCs w:val="17"/>
                <w:lang w:eastAsia="ar-SA"/>
              </w:rPr>
              <w:t>}</w:t>
            </w:r>
          </w:p>
          <w:p w:rsidR="00736637" w:rsidRPr="00736637" w:rsidRDefault="00736637" w:rsidP="00E80458">
            <w:pPr>
              <w:suppressAutoHyphens/>
              <w:jc w:val="both"/>
              <w:rPr>
                <w:sz w:val="17"/>
                <w:szCs w:val="17"/>
                <w:lang w:val="en-US" w:eastAsia="ar-SA"/>
              </w:rPr>
            </w:pPr>
          </w:p>
        </w:tc>
      </w:tr>
    </w:tbl>
    <w:p w:rsidR="00385BB4" w:rsidRPr="00385BB4" w:rsidRDefault="00385BB4"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w:t>
      </w:r>
      <w:r w:rsidRPr="00752D41">
        <w:rPr>
          <w:sz w:val="17"/>
          <w:szCs w:val="17"/>
          <w:lang w:eastAsia="ar-SA"/>
        </w:rPr>
        <w:lastRenderedPageBreak/>
        <w:t xml:space="preserve">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lastRenderedPageBreak/>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lastRenderedPageBreak/>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lastRenderedPageBreak/>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w:t>
      </w:r>
      <w:r w:rsidRPr="00752D41">
        <w:rPr>
          <w:sz w:val="17"/>
          <w:szCs w:val="17"/>
          <w:lang w:eastAsia="ar-SA"/>
        </w:rPr>
        <w:lastRenderedPageBreak/>
        <w:t>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xml:space="preserve">, и Правилами оказания экстренной помощи туристам, утвержденными Постановлением Правительства Российской Федерации от 27.02.2013 г. №162. </w:t>
      </w:r>
      <w:r w:rsidRPr="00752D41">
        <w:rPr>
          <w:rFonts w:ascii="Times New Roman" w:hAnsi="Times New Roman"/>
          <w:sz w:val="17"/>
          <w:szCs w:val="17"/>
          <w:lang w:eastAsia="ar-SA"/>
        </w:rPr>
        <w:lastRenderedPageBreak/>
        <w:t>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A74426">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A74426"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6C7533">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641A06" w:rsidRDefault="005615DC" w:rsidP="00515C41">
            <w:pPr>
              <w:keepNext/>
              <w:keepLines/>
              <w:jc w:val="center"/>
              <w:rPr>
                <w:sz w:val="16"/>
                <w:szCs w:val="16"/>
                <w:lang w:val="en-US"/>
              </w:rPr>
            </w:pP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touristPassportSeries</w:t>
            </w:r>
            <w:proofErr w:type="spellEnd"/>
            <w:r w:rsidR="00730FD9" w:rsidRPr="007051D3">
              <w:rPr>
                <w:sz w:val="16"/>
                <w:szCs w:val="16"/>
                <w:lang w:val="en-US"/>
              </w:rPr>
              <w:t>}</w:t>
            </w:r>
            <w:r w:rsidRPr="007051D3">
              <w:rPr>
                <w:sz w:val="16"/>
                <w:szCs w:val="16"/>
                <w:lang w:val="en-US"/>
              </w:rPr>
              <w:t xml:space="preserve"> №</w:t>
            </w:r>
            <w:r w:rsidR="009D3236" w:rsidRPr="007051D3">
              <w:rPr>
                <w:sz w:val="16"/>
                <w:szCs w:val="16"/>
                <w:lang w:val="en-US"/>
              </w:rPr>
              <w:t xml:space="preserve"> </w:t>
            </w:r>
            <w:r w:rsidR="00730FD9" w:rsidRPr="007051D3">
              <w:rPr>
                <w:sz w:val="16"/>
                <w:szCs w:val="16"/>
                <w:lang w:val="en-US"/>
              </w:rPr>
              <w:t>${</w:t>
            </w:r>
            <w:proofErr w:type="spellStart"/>
            <w:proofErr w:type="gramStart"/>
            <w:r w:rsidR="00730FD9">
              <w:rPr>
                <w:sz w:val="16"/>
                <w:szCs w:val="16"/>
                <w:lang w:val="en-US"/>
              </w:rPr>
              <w:t>touristPassportNumber</w:t>
            </w:r>
            <w:proofErr w:type="spellEnd"/>
            <w:r w:rsidR="00730FD9" w:rsidRPr="007051D3">
              <w:rPr>
                <w:sz w:val="16"/>
                <w:szCs w:val="16"/>
                <w:lang w:val="en-US"/>
              </w:rPr>
              <w:t>}</w:t>
            </w:r>
            <w:r w:rsidR="006C7533" w:rsidRPr="007051D3">
              <w:rPr>
                <w:sz w:val="16"/>
                <w:szCs w:val="16"/>
                <w:lang w:val="en-US"/>
              </w:rPr>
              <w:t xml:space="preserve"> </w:t>
            </w:r>
            <w:r w:rsidR="00730FD9" w:rsidRPr="007051D3">
              <w:rPr>
                <w:sz w:val="16"/>
                <w:szCs w:val="16"/>
                <w:lang w:val="en-US"/>
              </w:rPr>
              <w:t xml:space="preserve"> </w:t>
            </w:r>
            <w:r w:rsidRPr="00D82146">
              <w:rPr>
                <w:sz w:val="16"/>
                <w:szCs w:val="16"/>
              </w:rPr>
              <w:t>от</w:t>
            </w:r>
            <w:proofErr w:type="gramEnd"/>
            <w:r w:rsidR="006C7533"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touristPassportDate</w:t>
            </w:r>
            <w:proofErr w:type="spellEnd"/>
            <w:r w:rsidR="00730FD9" w:rsidRPr="007051D3">
              <w:rPr>
                <w:sz w:val="16"/>
                <w:szCs w:val="16"/>
                <w:lang w:val="en-US"/>
              </w:rPr>
              <w:t>}</w:t>
            </w:r>
            <w:r w:rsidR="007C6726">
              <w:rPr>
                <w:sz w:val="16"/>
                <w:szCs w:val="16"/>
                <w:lang w:val="en-US"/>
              </w:rPr>
              <w:t>,</w:t>
            </w:r>
          </w:p>
          <w:p w:rsidR="005615DC" w:rsidRPr="007051D3" w:rsidRDefault="005615DC" w:rsidP="00515C41">
            <w:pPr>
              <w:keepNext/>
              <w:keepLines/>
              <w:jc w:val="center"/>
              <w:rPr>
                <w:sz w:val="16"/>
                <w:szCs w:val="16"/>
                <w:lang w:val="en-US"/>
              </w:rPr>
            </w:pPr>
            <w:r w:rsidRPr="00D82146">
              <w:rPr>
                <w:sz w:val="16"/>
                <w:szCs w:val="16"/>
              </w:rPr>
              <w:t>Заграничный</w:t>
            </w:r>
            <w:r w:rsidRPr="007051D3">
              <w:rPr>
                <w:sz w:val="16"/>
                <w:szCs w:val="16"/>
                <w:lang w:val="en-US"/>
              </w:rPr>
              <w:t xml:space="preserve"> </w:t>
            </w: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touristInternationalPassportSeries</w:t>
            </w:r>
            <w:proofErr w:type="spellEnd"/>
            <w:r w:rsidR="00730FD9" w:rsidRPr="007051D3">
              <w:rPr>
                <w:sz w:val="16"/>
                <w:szCs w:val="16"/>
                <w:lang w:val="en-US"/>
              </w:rPr>
              <w:t>}</w:t>
            </w:r>
            <w:r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touristInternationalPassportNumber</w:t>
            </w:r>
            <w:proofErr w:type="spellEnd"/>
            <w:r w:rsidR="00730FD9" w:rsidRPr="007051D3">
              <w:rPr>
                <w:sz w:val="16"/>
                <w:szCs w:val="16"/>
                <w:lang w:val="en-US"/>
              </w:rPr>
              <w:t xml:space="preserve">} </w:t>
            </w:r>
            <w:r w:rsidRPr="00D82146">
              <w:rPr>
                <w:sz w:val="16"/>
                <w:szCs w:val="16"/>
              </w:rPr>
              <w:t>с</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touristInternationalPassportDate</w:t>
            </w:r>
            <w:proofErr w:type="spellEnd"/>
            <w:r w:rsidR="00515C41" w:rsidRPr="007051D3">
              <w:rPr>
                <w:sz w:val="16"/>
                <w:szCs w:val="16"/>
                <w:lang w:val="en-US"/>
              </w:rPr>
              <w:t>}</w:t>
            </w:r>
            <w:r w:rsidRPr="007051D3">
              <w:rPr>
                <w:sz w:val="16"/>
                <w:szCs w:val="16"/>
                <w:lang w:val="en-US"/>
              </w:rPr>
              <w:t xml:space="preserve"> </w:t>
            </w:r>
            <w:r w:rsidRPr="00D82146">
              <w:rPr>
                <w:sz w:val="16"/>
                <w:szCs w:val="16"/>
              </w:rPr>
              <w:t>по</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touristInternationalPassportPeriod</w:t>
            </w:r>
            <w:proofErr w:type="spellEnd"/>
            <w:r w:rsidR="00515C41" w:rsidRPr="007051D3">
              <w:rPr>
                <w:sz w:val="16"/>
                <w:szCs w:val="16"/>
                <w:lang w:val="en-US"/>
              </w:rPr>
              <w:t>}</w:t>
            </w:r>
            <w:r w:rsidRPr="007051D3">
              <w:rPr>
                <w:sz w:val="16"/>
                <w:szCs w:val="16"/>
                <w:lang w:val="en-US"/>
              </w:rPr>
              <w:t>,</w:t>
            </w:r>
          </w:p>
          <w:p w:rsidR="00C708AF" w:rsidRPr="00730FD9" w:rsidRDefault="00C708AF" w:rsidP="00515C41">
            <w:pPr>
              <w:keepNext/>
              <w:keepLines/>
              <w:jc w:val="center"/>
              <w:rPr>
                <w:sz w:val="16"/>
                <w:szCs w:val="16"/>
                <w:lang w:val="en-US"/>
              </w:rPr>
            </w:pPr>
          </w:p>
        </w:tc>
      </w:tr>
      <w:tr w:rsidR="007B0512" w:rsidRPr="00A74426" w:rsidTr="00E81F27">
        <w:trPr>
          <w:trHeight w:val="377"/>
        </w:trPr>
        <w:tc>
          <w:tcPr>
            <w:tcW w:w="3958" w:type="dxa"/>
          </w:tcPr>
          <w:p w:rsidR="007B0512" w:rsidRPr="007B0512" w:rsidRDefault="007B0512" w:rsidP="001C2509">
            <w:pPr>
              <w:keepNext/>
              <w:keepLines/>
              <w:rPr>
                <w:sz w:val="17"/>
                <w:szCs w:val="17"/>
                <w:highlight w:val="yellow"/>
                <w:lang w:val="en-US" w:eastAsia="ar-SA"/>
              </w:rPr>
            </w:pPr>
          </w:p>
        </w:tc>
        <w:tc>
          <w:tcPr>
            <w:tcW w:w="1497" w:type="dxa"/>
          </w:tcPr>
          <w:p w:rsidR="007B0512" w:rsidRPr="000F1666" w:rsidRDefault="007B0512" w:rsidP="00E81F27">
            <w:pPr>
              <w:keepNext/>
              <w:keepLines/>
              <w:jc w:val="center"/>
              <w:rPr>
                <w:sz w:val="16"/>
                <w:szCs w:val="16"/>
                <w:highlight w:val="yellow"/>
                <w:lang w:val="en-US"/>
              </w:rPr>
            </w:pPr>
          </w:p>
        </w:tc>
        <w:tc>
          <w:tcPr>
            <w:tcW w:w="2102" w:type="dxa"/>
          </w:tcPr>
          <w:p w:rsidR="007B0512" w:rsidRPr="000F1666" w:rsidRDefault="007B0512" w:rsidP="00E81F27">
            <w:pPr>
              <w:keepNext/>
              <w:keepLines/>
              <w:jc w:val="center"/>
              <w:rPr>
                <w:sz w:val="16"/>
                <w:szCs w:val="16"/>
                <w:highlight w:val="yellow"/>
                <w:lang w:val="en-US"/>
              </w:rPr>
            </w:pPr>
          </w:p>
        </w:tc>
        <w:tc>
          <w:tcPr>
            <w:tcW w:w="3032" w:type="dxa"/>
          </w:tcPr>
          <w:p w:rsidR="007B0512" w:rsidRPr="007B0512" w:rsidRDefault="007B0512" w:rsidP="00515C41">
            <w:pPr>
              <w:keepNext/>
              <w:keepLines/>
              <w:jc w:val="center"/>
              <w:rPr>
                <w:sz w:val="16"/>
                <w:szCs w:val="16"/>
                <w:lang w:val="en-US"/>
              </w:rPr>
            </w:pP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7B0512">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7B0512" w:rsidRPr="00752D41" w:rsidTr="007B0512">
        <w:trPr>
          <w:trHeight w:val="170"/>
        </w:trPr>
        <w:tc>
          <w:tcPr>
            <w:tcW w:w="5125" w:type="dxa"/>
          </w:tcPr>
          <w:p w:rsidR="007B0512" w:rsidRPr="00752D41" w:rsidRDefault="007B0512" w:rsidP="00E81F27">
            <w:pPr>
              <w:keepNext/>
              <w:keepLines/>
              <w:jc w:val="center"/>
            </w:pPr>
            <w:r>
              <w:rPr>
                <w:sz w:val="16"/>
                <w:szCs w:val="16"/>
                <w:lang w:val="en-US"/>
              </w:rPr>
              <w:t>${</w:t>
            </w:r>
            <w:proofErr w:type="spellStart"/>
            <w:r>
              <w:rPr>
                <w:sz w:val="16"/>
                <w:szCs w:val="16"/>
                <w:lang w:val="en-US"/>
              </w:rPr>
              <w:t>tourpackageName</w:t>
            </w:r>
            <w:proofErr w:type="spellEnd"/>
            <w:r>
              <w:rPr>
                <w:sz w:val="16"/>
                <w:szCs w:val="16"/>
                <w:lang w:val="en-US"/>
              </w:rPr>
              <w:t xml:space="preserve">} </w:t>
            </w:r>
            <w:r w:rsidRPr="004271BA">
              <w:rPr>
                <w:sz w:val="16"/>
                <w:szCs w:val="16"/>
                <w:lang w:val="en-US"/>
              </w:rPr>
              <w:t xml:space="preserve"> </w:t>
            </w:r>
            <w:r>
              <w:rPr>
                <w:sz w:val="16"/>
                <w:szCs w:val="16"/>
              </w:rPr>
              <w:t>(</w:t>
            </w:r>
            <w:proofErr w:type="spellStart"/>
            <w:r w:rsidRPr="004271BA">
              <w:rPr>
                <w:sz w:val="16"/>
                <w:szCs w:val="16"/>
                <w:lang w:val="en-US"/>
              </w:rPr>
              <w:t>Название</w:t>
            </w:r>
            <w:proofErr w:type="spellEnd"/>
            <w:r w:rsidRPr="004271BA">
              <w:rPr>
                <w:sz w:val="16"/>
                <w:szCs w:val="16"/>
                <w:lang w:val="en-US"/>
              </w:rPr>
              <w:t xml:space="preserve"> </w:t>
            </w:r>
            <w:proofErr w:type="spellStart"/>
            <w:r w:rsidRPr="004271BA">
              <w:rPr>
                <w:sz w:val="16"/>
                <w:szCs w:val="16"/>
                <w:lang w:val="en-US"/>
              </w:rPr>
              <w:t>турпакета</w:t>
            </w:r>
            <w:proofErr w:type="spellEnd"/>
            <w:r>
              <w:rPr>
                <w:sz w:val="16"/>
                <w:szCs w:val="16"/>
              </w:rPr>
              <w:t xml:space="preserve"> 2.1)</w:t>
            </w:r>
          </w:p>
        </w:tc>
        <w:tc>
          <w:tcPr>
            <w:tcW w:w="5490" w:type="dxa"/>
          </w:tcPr>
          <w:p w:rsidR="007B0512" w:rsidRPr="00752D41" w:rsidRDefault="007B0512"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Pr>
                <w:sz w:val="16"/>
                <w:szCs w:val="16"/>
              </w:rPr>
              <w:t>(даты тура)</w:t>
            </w:r>
          </w:p>
        </w:tc>
      </w:tr>
      <w:tr w:rsidR="007B0512" w:rsidRPr="00752D41" w:rsidTr="007B0512">
        <w:trPr>
          <w:trHeight w:val="170"/>
        </w:trPr>
        <w:tc>
          <w:tcPr>
            <w:tcW w:w="5125" w:type="dxa"/>
          </w:tcPr>
          <w:p w:rsidR="007B0512" w:rsidRDefault="007B0512" w:rsidP="00E81F27">
            <w:pPr>
              <w:keepNext/>
              <w:keepLines/>
              <w:jc w:val="center"/>
              <w:rPr>
                <w:sz w:val="16"/>
                <w:szCs w:val="16"/>
                <w:lang w:val="en-US"/>
              </w:rPr>
            </w:pPr>
          </w:p>
        </w:tc>
        <w:tc>
          <w:tcPr>
            <w:tcW w:w="5490" w:type="dxa"/>
          </w:tcPr>
          <w:p w:rsidR="007B0512" w:rsidRDefault="007B0512" w:rsidP="00E81F27">
            <w:pPr>
              <w:keepNext/>
              <w:keepLines/>
              <w:jc w:val="center"/>
              <w:rPr>
                <w:sz w:val="16"/>
                <w:szCs w:val="16"/>
                <w:lang w:val="en-US"/>
              </w:rPr>
            </w:pP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r w:rsidR="007B0512" w:rsidRPr="00752D41" w:rsidTr="00D66F49">
        <w:trPr>
          <w:trHeight w:val="208"/>
        </w:trPr>
        <w:tc>
          <w:tcPr>
            <w:tcW w:w="2312" w:type="dxa"/>
          </w:tcPr>
          <w:p w:rsidR="007B0512" w:rsidRPr="00526A3E" w:rsidRDefault="007B0512" w:rsidP="00D66F49">
            <w:pPr>
              <w:keepNext/>
              <w:keepLines/>
              <w:jc w:val="center"/>
              <w:rPr>
                <w:sz w:val="16"/>
                <w:szCs w:val="16"/>
              </w:rPr>
            </w:pPr>
          </w:p>
        </w:tc>
        <w:tc>
          <w:tcPr>
            <w:tcW w:w="2477" w:type="dxa"/>
          </w:tcPr>
          <w:p w:rsidR="007B0512" w:rsidRDefault="007B0512" w:rsidP="00D66F49">
            <w:pPr>
              <w:keepNext/>
              <w:keepLines/>
              <w:jc w:val="center"/>
              <w:rPr>
                <w:sz w:val="16"/>
                <w:szCs w:val="16"/>
                <w:lang w:val="en-US"/>
              </w:rPr>
            </w:pPr>
          </w:p>
        </w:tc>
        <w:tc>
          <w:tcPr>
            <w:tcW w:w="2598" w:type="dxa"/>
          </w:tcPr>
          <w:p w:rsidR="007B0512" w:rsidRDefault="007B0512" w:rsidP="00D66F49">
            <w:pPr>
              <w:keepNext/>
              <w:keepLines/>
              <w:jc w:val="center"/>
              <w:rPr>
                <w:sz w:val="16"/>
                <w:szCs w:val="16"/>
                <w:lang w:val="en-US"/>
              </w:rPr>
            </w:pPr>
          </w:p>
        </w:tc>
        <w:tc>
          <w:tcPr>
            <w:tcW w:w="3234" w:type="dxa"/>
          </w:tcPr>
          <w:p w:rsidR="007B0512" w:rsidRDefault="007B0512" w:rsidP="00D66F49">
            <w:pPr>
              <w:keepNext/>
              <w:keepLines/>
              <w:jc w:val="center"/>
              <w:rPr>
                <w:sz w:val="16"/>
                <w:szCs w:val="16"/>
                <w:lang w:val="en-US"/>
              </w:rPr>
            </w:pP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r w:rsidR="007B0512" w:rsidRPr="00752D41" w:rsidTr="00E81F27">
        <w:trPr>
          <w:trHeight w:val="176"/>
        </w:trPr>
        <w:tc>
          <w:tcPr>
            <w:tcW w:w="10165" w:type="dxa"/>
          </w:tcPr>
          <w:p w:rsidR="007B0512" w:rsidRPr="00051407" w:rsidRDefault="007B0512" w:rsidP="00E81F27">
            <w:pPr>
              <w:keepNext/>
              <w:keepLines/>
              <w:jc w:val="center"/>
              <w:rPr>
                <w:sz w:val="16"/>
                <w:szCs w:val="16"/>
                <w:highlight w:val="yellow"/>
              </w:rPr>
            </w:pP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248"/>
        <w:gridCol w:w="2518"/>
        <w:gridCol w:w="3417"/>
      </w:tblGrid>
      <w:tr w:rsidR="00A60DFA" w:rsidRPr="00752D41" w:rsidTr="00A60DFA">
        <w:trPr>
          <w:trHeight w:val="110"/>
        </w:trPr>
        <w:tc>
          <w:tcPr>
            <w:tcW w:w="1973" w:type="dxa"/>
          </w:tcPr>
          <w:p w:rsidR="00A60DFA" w:rsidRPr="00752D41" w:rsidRDefault="00A60DFA" w:rsidP="00E81F27">
            <w:pPr>
              <w:keepNext/>
              <w:keepLines/>
              <w:jc w:val="center"/>
              <w:rPr>
                <w:sz w:val="16"/>
                <w:szCs w:val="16"/>
              </w:rPr>
            </w:pPr>
            <w:r w:rsidRPr="00752D41">
              <w:rPr>
                <w:sz w:val="16"/>
                <w:szCs w:val="16"/>
              </w:rPr>
              <w:t xml:space="preserve">  ФИО туриста</w:t>
            </w:r>
          </w:p>
        </w:tc>
        <w:tc>
          <w:tcPr>
            <w:tcW w:w="2248" w:type="dxa"/>
          </w:tcPr>
          <w:p w:rsidR="00A60DFA" w:rsidRPr="00752D41" w:rsidRDefault="00A60DFA" w:rsidP="00E81F27">
            <w:pPr>
              <w:keepNext/>
              <w:keepLines/>
              <w:jc w:val="center"/>
              <w:rPr>
                <w:sz w:val="16"/>
                <w:szCs w:val="16"/>
              </w:rPr>
            </w:pPr>
            <w:r w:rsidRPr="00752D41">
              <w:rPr>
                <w:sz w:val="16"/>
                <w:szCs w:val="16"/>
              </w:rPr>
              <w:t>Маршрут трансфера</w:t>
            </w:r>
          </w:p>
        </w:tc>
        <w:tc>
          <w:tcPr>
            <w:tcW w:w="2518" w:type="dxa"/>
          </w:tcPr>
          <w:p w:rsidR="00A60DFA" w:rsidRPr="00752D41" w:rsidRDefault="00A60DFA" w:rsidP="00E81F27">
            <w:pPr>
              <w:keepNext/>
              <w:keepLines/>
              <w:jc w:val="center"/>
              <w:rPr>
                <w:sz w:val="16"/>
                <w:szCs w:val="16"/>
                <w:lang w:val="en-US"/>
              </w:rPr>
            </w:pPr>
            <w:r w:rsidRPr="00752D41">
              <w:rPr>
                <w:sz w:val="16"/>
                <w:szCs w:val="16"/>
              </w:rPr>
              <w:t xml:space="preserve">Категория трансфера </w:t>
            </w:r>
          </w:p>
          <w:p w:rsidR="00A60DFA" w:rsidRPr="00752D41" w:rsidRDefault="00A60DFA"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17" w:type="dxa"/>
          </w:tcPr>
          <w:p w:rsidR="00A60DFA" w:rsidRPr="00752D41" w:rsidRDefault="00A60DFA" w:rsidP="00E81F27">
            <w:pPr>
              <w:keepNext/>
              <w:keepLines/>
              <w:jc w:val="center"/>
              <w:rPr>
                <w:sz w:val="16"/>
                <w:szCs w:val="16"/>
                <w:lang w:val="en-US"/>
              </w:rPr>
            </w:pPr>
            <w:r w:rsidRPr="00752D41">
              <w:rPr>
                <w:sz w:val="16"/>
                <w:szCs w:val="16"/>
              </w:rPr>
              <w:t>Категория транспорта/</w:t>
            </w:r>
          </w:p>
          <w:p w:rsidR="00A60DFA" w:rsidRPr="00752D41" w:rsidRDefault="00A60DFA" w:rsidP="00E81F27">
            <w:pPr>
              <w:keepNext/>
              <w:keepLines/>
              <w:jc w:val="center"/>
              <w:rPr>
                <w:sz w:val="16"/>
                <w:szCs w:val="16"/>
              </w:rPr>
            </w:pPr>
            <w:r w:rsidRPr="00752D41">
              <w:rPr>
                <w:sz w:val="16"/>
                <w:szCs w:val="16"/>
              </w:rPr>
              <w:t>вид транспорта</w:t>
            </w:r>
          </w:p>
        </w:tc>
      </w:tr>
      <w:tr w:rsidR="005D3AF9" w:rsidRPr="005D3AF9" w:rsidTr="005D3AF9">
        <w:trPr>
          <w:trHeight w:val="264"/>
        </w:trPr>
        <w:tc>
          <w:tcPr>
            <w:tcW w:w="1973" w:type="dxa"/>
          </w:tcPr>
          <w:p w:rsidR="005D3AF9" w:rsidRPr="007F1795" w:rsidRDefault="005D3AF9" w:rsidP="00E81F27">
            <w:pPr>
              <w:keepNext/>
              <w:keepLines/>
              <w:jc w:val="center"/>
              <w:rPr>
                <w:sz w:val="16"/>
                <w:szCs w:val="16"/>
              </w:rPr>
            </w:pPr>
            <w:r w:rsidRPr="000F5D1A">
              <w:rPr>
                <w:sz w:val="16"/>
                <w:szCs w:val="16"/>
              </w:rPr>
              <w:t>${</w:t>
            </w:r>
            <w:proofErr w:type="spellStart"/>
            <w:r>
              <w:rPr>
                <w:sz w:val="16"/>
                <w:szCs w:val="16"/>
                <w:lang w:val="en-US"/>
              </w:rPr>
              <w:t>touristList</w:t>
            </w:r>
            <w:proofErr w:type="spellEnd"/>
            <w:r w:rsidRPr="000F5D1A">
              <w:rPr>
                <w:sz w:val="16"/>
                <w:szCs w:val="16"/>
              </w:rPr>
              <w:t>}</w:t>
            </w:r>
          </w:p>
          <w:p w:rsidR="005D3AF9" w:rsidRPr="007F1795" w:rsidRDefault="005D3AF9" w:rsidP="00E81F27">
            <w:pPr>
              <w:keepNext/>
              <w:keepLines/>
              <w:jc w:val="center"/>
              <w:rPr>
                <w:sz w:val="16"/>
                <w:szCs w:val="16"/>
              </w:rPr>
            </w:pPr>
          </w:p>
        </w:tc>
        <w:tc>
          <w:tcPr>
            <w:tcW w:w="2248" w:type="dxa"/>
          </w:tcPr>
          <w:p w:rsidR="005D3AF9" w:rsidRPr="00462656" w:rsidRDefault="005D3AF9" w:rsidP="00E81F27">
            <w:pPr>
              <w:keepNext/>
              <w:keepLines/>
              <w:jc w:val="center"/>
              <w:rPr>
                <w:sz w:val="16"/>
                <w:szCs w:val="16"/>
              </w:rPr>
            </w:pPr>
            <w:r w:rsidRPr="005D3AF9">
              <w:rPr>
                <w:sz w:val="16"/>
                <w:szCs w:val="16"/>
              </w:rPr>
              <w:t>${</w:t>
            </w:r>
            <w:proofErr w:type="spellStart"/>
            <w:r>
              <w:rPr>
                <w:sz w:val="16"/>
                <w:szCs w:val="16"/>
                <w:lang w:val="en-US"/>
              </w:rPr>
              <w:t>transferRoute</w:t>
            </w:r>
            <w:proofErr w:type="spellEnd"/>
            <w:r w:rsidRPr="005D3AF9">
              <w:rPr>
                <w:sz w:val="16"/>
                <w:szCs w:val="16"/>
              </w:rPr>
              <w:t>}</w:t>
            </w:r>
            <w:r>
              <w:rPr>
                <w:sz w:val="16"/>
                <w:szCs w:val="16"/>
              </w:rPr>
              <w:t xml:space="preserve"> </w:t>
            </w:r>
            <w:r w:rsidRPr="00462656">
              <w:rPr>
                <w:sz w:val="16"/>
                <w:szCs w:val="16"/>
                <w:highlight w:val="yellow"/>
              </w:rPr>
              <w:t>(маршрут туда 2.63)</w:t>
            </w:r>
          </w:p>
          <w:p w:rsidR="005D3AF9" w:rsidRPr="00462656" w:rsidRDefault="005D3AF9" w:rsidP="00287A7A">
            <w:pPr>
              <w:keepNext/>
              <w:keepLines/>
              <w:jc w:val="center"/>
              <w:rPr>
                <w:sz w:val="16"/>
                <w:szCs w:val="16"/>
              </w:rPr>
            </w:pPr>
          </w:p>
        </w:tc>
        <w:tc>
          <w:tcPr>
            <w:tcW w:w="2518" w:type="dxa"/>
          </w:tcPr>
          <w:p w:rsidR="005D3AF9" w:rsidRPr="00752D41"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transferType</w:t>
            </w:r>
            <w:proofErr w:type="spellEnd"/>
            <w:r>
              <w:rPr>
                <w:sz w:val="16"/>
                <w:szCs w:val="16"/>
                <w:lang w:val="en-US"/>
              </w:rPr>
              <w:t>}</w:t>
            </w:r>
          </w:p>
          <w:p w:rsidR="005D3AF9" w:rsidRPr="00752D41" w:rsidRDefault="005D3AF9" w:rsidP="00E81F27">
            <w:pPr>
              <w:keepNext/>
              <w:keepLines/>
              <w:jc w:val="center"/>
              <w:rPr>
                <w:sz w:val="16"/>
                <w:szCs w:val="16"/>
                <w:lang w:val="en-US"/>
              </w:rPr>
            </w:pPr>
          </w:p>
        </w:tc>
        <w:tc>
          <w:tcPr>
            <w:tcW w:w="3417" w:type="dxa"/>
          </w:tcPr>
          <w:p w:rsidR="005D3AF9" w:rsidRPr="005D3AF9"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transferTransport</w:t>
            </w:r>
            <w:proofErr w:type="spellEnd"/>
            <w:r>
              <w:rPr>
                <w:sz w:val="16"/>
                <w:szCs w:val="16"/>
                <w:lang w:val="en-US"/>
              </w:rPr>
              <w:t>}</w:t>
            </w:r>
            <w:r w:rsidRPr="005D3AF9">
              <w:rPr>
                <w:sz w:val="16"/>
                <w:szCs w:val="16"/>
                <w:lang w:val="en-US"/>
              </w:rPr>
              <w:t xml:space="preserve"> </w:t>
            </w:r>
            <w:r w:rsidRPr="005D3AF9">
              <w:rPr>
                <w:sz w:val="16"/>
                <w:szCs w:val="16"/>
                <w:shd w:val="clear" w:color="auto" w:fill="FFFF00"/>
                <w:lang w:val="en-US"/>
              </w:rPr>
              <w:t>(</w:t>
            </w:r>
            <w:r w:rsidRPr="00356D0D">
              <w:rPr>
                <w:sz w:val="16"/>
                <w:szCs w:val="16"/>
                <w:shd w:val="clear" w:color="auto" w:fill="FFFF00"/>
              </w:rPr>
              <w:t>вид</w:t>
            </w:r>
            <w:r w:rsidRPr="005D3AF9">
              <w:rPr>
                <w:sz w:val="16"/>
                <w:szCs w:val="16"/>
                <w:shd w:val="clear" w:color="auto" w:fill="FFFF00"/>
                <w:lang w:val="en-US"/>
              </w:rPr>
              <w:t xml:space="preserve"> </w:t>
            </w:r>
            <w:r w:rsidRPr="00356D0D">
              <w:rPr>
                <w:sz w:val="16"/>
                <w:szCs w:val="16"/>
                <w:shd w:val="clear" w:color="auto" w:fill="FFFF00"/>
              </w:rPr>
              <w:t>транспорта</w:t>
            </w:r>
            <w:r w:rsidRPr="005D3AF9">
              <w:rPr>
                <w:sz w:val="16"/>
                <w:szCs w:val="16"/>
                <w:shd w:val="clear" w:color="auto" w:fill="FFFF00"/>
                <w:lang w:val="en-US"/>
              </w:rPr>
              <w:t xml:space="preserve"> </w:t>
            </w:r>
            <w:r w:rsidRPr="00356D0D">
              <w:rPr>
                <w:sz w:val="16"/>
                <w:szCs w:val="16"/>
                <w:shd w:val="clear" w:color="auto" w:fill="FFFF00"/>
              </w:rPr>
              <w:t>туда</w:t>
            </w:r>
            <w:r w:rsidRPr="005D3AF9">
              <w:rPr>
                <w:sz w:val="16"/>
                <w:szCs w:val="16"/>
                <w:shd w:val="clear" w:color="auto" w:fill="FFFF00"/>
                <w:lang w:val="en-US"/>
              </w:rPr>
              <w:t>)</w:t>
            </w:r>
          </w:p>
          <w:p w:rsidR="005D3AF9" w:rsidRPr="005D3AF9" w:rsidRDefault="005D3AF9" w:rsidP="00E81F27">
            <w:pPr>
              <w:keepNext/>
              <w:keepLines/>
              <w:jc w:val="center"/>
              <w:rPr>
                <w:sz w:val="16"/>
                <w:szCs w:val="16"/>
                <w:lang w:val="en-US"/>
              </w:rPr>
            </w:pPr>
          </w:p>
        </w:tc>
      </w:tr>
      <w:tr w:rsidR="005D3AF9" w:rsidRPr="005D3AF9" w:rsidTr="007E6A47">
        <w:trPr>
          <w:trHeight w:val="263"/>
        </w:trPr>
        <w:tc>
          <w:tcPr>
            <w:tcW w:w="1973" w:type="dxa"/>
          </w:tcPr>
          <w:p w:rsidR="005D3AF9" w:rsidRPr="000F5D1A" w:rsidRDefault="005D3AF9" w:rsidP="00E81F27">
            <w:pPr>
              <w:keepNext/>
              <w:keepLines/>
              <w:jc w:val="center"/>
              <w:rPr>
                <w:sz w:val="16"/>
                <w:szCs w:val="16"/>
              </w:rPr>
            </w:pPr>
          </w:p>
        </w:tc>
        <w:tc>
          <w:tcPr>
            <w:tcW w:w="2248" w:type="dxa"/>
          </w:tcPr>
          <w:p w:rsidR="005D3AF9" w:rsidRPr="005D3AF9" w:rsidRDefault="005D3AF9" w:rsidP="00E81F27">
            <w:pPr>
              <w:keepNext/>
              <w:keepLines/>
              <w:jc w:val="center"/>
              <w:rPr>
                <w:sz w:val="16"/>
                <w:szCs w:val="16"/>
              </w:rPr>
            </w:pPr>
          </w:p>
        </w:tc>
        <w:tc>
          <w:tcPr>
            <w:tcW w:w="2518" w:type="dxa"/>
          </w:tcPr>
          <w:p w:rsidR="005D3AF9" w:rsidRDefault="005D3AF9" w:rsidP="00287A7A">
            <w:pPr>
              <w:keepNext/>
              <w:keepLines/>
              <w:jc w:val="center"/>
              <w:rPr>
                <w:sz w:val="16"/>
                <w:szCs w:val="16"/>
                <w:lang w:val="en-US"/>
              </w:rPr>
            </w:pPr>
          </w:p>
        </w:tc>
        <w:tc>
          <w:tcPr>
            <w:tcW w:w="3417" w:type="dxa"/>
          </w:tcPr>
          <w:p w:rsidR="005D3AF9" w:rsidRDefault="005D3AF9" w:rsidP="00287A7A">
            <w:pPr>
              <w:keepNext/>
              <w:keepLines/>
              <w:jc w:val="center"/>
              <w:rPr>
                <w:sz w:val="16"/>
                <w:szCs w:val="16"/>
                <w:lang w:val="en-US"/>
              </w:rPr>
            </w:pPr>
          </w:p>
        </w:tc>
      </w:tr>
    </w:tbl>
    <w:p w:rsidR="00673060" w:rsidRPr="004E1CA4" w:rsidRDefault="004E1CA4" w:rsidP="00673060">
      <w:pPr>
        <w:ind w:left="567"/>
        <w:jc w:val="both"/>
        <w:rPr>
          <w:b/>
          <w:sz w:val="16"/>
          <w:szCs w:val="16"/>
          <w:lang w:val="en-US"/>
        </w:rPr>
      </w:pPr>
      <w:r>
        <w:rPr>
          <w:b/>
          <w:sz w:val="16"/>
          <w:szCs w:val="16"/>
          <w:lang w:val="en-US"/>
        </w:rPr>
        <w:t>{$table}</w:t>
      </w: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r w:rsidR="007B0512" w:rsidRPr="00752D41" w:rsidTr="00E81F27">
        <w:tc>
          <w:tcPr>
            <w:tcW w:w="4675" w:type="dxa"/>
          </w:tcPr>
          <w:p w:rsidR="007B0512" w:rsidRPr="007B0512" w:rsidRDefault="007B0512" w:rsidP="00E81F27">
            <w:pPr>
              <w:keepNext/>
              <w:keepLines/>
              <w:jc w:val="center"/>
              <w:rPr>
                <w:shd w:val="clear" w:color="auto" w:fill="FFFF00"/>
              </w:rPr>
            </w:pPr>
          </w:p>
        </w:tc>
        <w:tc>
          <w:tcPr>
            <w:tcW w:w="5490" w:type="dxa"/>
          </w:tcPr>
          <w:p w:rsidR="007B0512" w:rsidRPr="007B0512" w:rsidRDefault="007B0512" w:rsidP="000F5D1A">
            <w:pPr>
              <w:keepNext/>
              <w:keepLines/>
              <w:jc w:val="center"/>
              <w:rPr>
                <w:sz w:val="16"/>
                <w:szCs w:val="16"/>
              </w:rPr>
            </w:pP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9151B2" w:rsidRPr="001C2509" w:rsidRDefault="009151B2" w:rsidP="009151B2">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sidR="004B35E8">
              <w:rPr>
                <w:sz w:val="17"/>
                <w:szCs w:val="17"/>
                <w:highlight w:val="yellow"/>
                <w:lang w:eastAsia="ar-SA"/>
              </w:rPr>
              <w:t xml:space="preserve">}  </w:t>
            </w:r>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680B4A" w:rsidRPr="00752D41" w:rsidRDefault="00680B4A" w:rsidP="00E81F27">
            <w:pPr>
              <w:keepNext/>
              <w:keepLines/>
              <w:jc w:val="center"/>
              <w:rPr>
                <w:sz w:val="16"/>
                <w:szCs w:val="16"/>
                <w:lang w:val="en-US"/>
              </w:rPr>
            </w:pPr>
          </w:p>
        </w:tc>
        <w:tc>
          <w:tcPr>
            <w:tcW w:w="2340"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r w:rsidR="007B0512" w:rsidRPr="00752D41" w:rsidTr="00E81F27">
        <w:tc>
          <w:tcPr>
            <w:tcW w:w="3505" w:type="dxa"/>
          </w:tcPr>
          <w:p w:rsidR="007B0512" w:rsidRPr="001C2509" w:rsidRDefault="007B0512" w:rsidP="009151B2">
            <w:pPr>
              <w:keepNext/>
              <w:keepLines/>
              <w:rPr>
                <w:sz w:val="17"/>
                <w:szCs w:val="17"/>
                <w:highlight w:val="yellow"/>
                <w:lang w:eastAsia="ar-SA"/>
              </w:rPr>
            </w:pPr>
          </w:p>
        </w:tc>
        <w:tc>
          <w:tcPr>
            <w:tcW w:w="2340" w:type="dxa"/>
          </w:tcPr>
          <w:p w:rsidR="007B0512" w:rsidRDefault="007B0512" w:rsidP="00E81F27">
            <w:pPr>
              <w:keepNext/>
              <w:keepLines/>
              <w:jc w:val="center"/>
              <w:rPr>
                <w:sz w:val="16"/>
                <w:szCs w:val="16"/>
                <w:lang w:val="en-US"/>
              </w:rPr>
            </w:pPr>
          </w:p>
        </w:tc>
        <w:tc>
          <w:tcPr>
            <w:tcW w:w="4320" w:type="dxa"/>
          </w:tcPr>
          <w:p w:rsidR="007B0512" w:rsidRPr="00752D41" w:rsidRDefault="007B0512" w:rsidP="00E81F27">
            <w:pPr>
              <w:keepNext/>
              <w:keepLines/>
              <w:jc w:val="center"/>
              <w:rPr>
                <w:sz w:val="16"/>
                <w:szCs w:val="16"/>
                <w:lang w:val="en-US"/>
              </w:rPr>
            </w:pP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lastRenderedPageBreak/>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p>
        </w:tc>
      </w:tr>
      <w:tr w:rsidR="007B0512" w:rsidRPr="00752D41" w:rsidTr="00E81F27">
        <w:tc>
          <w:tcPr>
            <w:tcW w:w="3145" w:type="dxa"/>
          </w:tcPr>
          <w:p w:rsidR="007B0512" w:rsidRPr="00752D41" w:rsidRDefault="007B0512" w:rsidP="00667301">
            <w:pPr>
              <w:keepNext/>
              <w:keepLines/>
              <w:jc w:val="center"/>
            </w:pPr>
          </w:p>
        </w:tc>
        <w:tc>
          <w:tcPr>
            <w:tcW w:w="1800" w:type="dxa"/>
          </w:tcPr>
          <w:p w:rsidR="007B0512" w:rsidRDefault="007B0512" w:rsidP="00E81F27">
            <w:pPr>
              <w:keepNext/>
              <w:keepLines/>
              <w:jc w:val="center"/>
              <w:rPr>
                <w:sz w:val="16"/>
                <w:szCs w:val="16"/>
                <w:lang w:val="en-US"/>
              </w:rPr>
            </w:pPr>
          </w:p>
        </w:tc>
        <w:tc>
          <w:tcPr>
            <w:tcW w:w="1530" w:type="dxa"/>
          </w:tcPr>
          <w:p w:rsidR="007B0512" w:rsidRPr="00752D41" w:rsidRDefault="007B0512" w:rsidP="00667301">
            <w:pPr>
              <w:keepNext/>
              <w:keepLines/>
              <w:jc w:val="center"/>
              <w:rPr>
                <w:sz w:val="16"/>
                <w:szCs w:val="16"/>
                <w:lang w:val="en-US"/>
              </w:rPr>
            </w:pPr>
          </w:p>
        </w:tc>
        <w:tc>
          <w:tcPr>
            <w:tcW w:w="3690" w:type="dxa"/>
          </w:tcPr>
          <w:p w:rsidR="007B0512" w:rsidRDefault="007B0512" w:rsidP="00E81F27">
            <w:pPr>
              <w:keepNext/>
              <w:keepLines/>
              <w:jc w:val="center"/>
              <w:rPr>
                <w:sz w:val="16"/>
                <w:szCs w:val="16"/>
                <w:lang w:val="en-US"/>
              </w:rPr>
            </w:pP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r w:rsidR="007B0512" w:rsidRPr="00752D41" w:rsidTr="005952E6">
        <w:trPr>
          <w:trHeight w:val="231"/>
        </w:trPr>
        <w:tc>
          <w:tcPr>
            <w:tcW w:w="4106" w:type="dxa"/>
          </w:tcPr>
          <w:p w:rsidR="007B0512" w:rsidRDefault="007B0512" w:rsidP="00E81F27">
            <w:pPr>
              <w:keepNext/>
              <w:keepLines/>
              <w:jc w:val="center"/>
              <w:rPr>
                <w:sz w:val="16"/>
                <w:szCs w:val="16"/>
                <w:lang w:val="en-US"/>
              </w:rPr>
            </w:pPr>
          </w:p>
        </w:tc>
        <w:tc>
          <w:tcPr>
            <w:tcW w:w="6050" w:type="dxa"/>
          </w:tcPr>
          <w:p w:rsidR="007B0512" w:rsidRDefault="007B0512" w:rsidP="00E81F27">
            <w:pPr>
              <w:keepNext/>
              <w:keepLines/>
              <w:jc w:val="center"/>
              <w:rPr>
                <w:sz w:val="16"/>
                <w:szCs w:val="16"/>
                <w:lang w:val="en-US"/>
              </w:rPr>
            </w:pP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w:t>
            </w:r>
            <w:r w:rsidR="00506E4E" w:rsidRPr="00506E4E">
              <w:rPr>
                <w:sz w:val="16"/>
                <w:szCs w:val="16"/>
              </w:rPr>
              <w:t xml:space="preserve"> </w:t>
            </w:r>
            <w:r w:rsidR="00506E4E" w:rsidRPr="00506E4E">
              <w:rPr>
                <w:sz w:val="17"/>
                <w:szCs w:val="17"/>
                <w:lang w:eastAsia="ar-SA"/>
              </w:rPr>
              <w:t>${</w:t>
            </w:r>
            <w:proofErr w:type="spellStart"/>
            <w:r w:rsidR="00506E4E">
              <w:rPr>
                <w:sz w:val="17"/>
                <w:szCs w:val="17"/>
                <w:lang w:val="en-US" w:eastAsia="ar-SA"/>
              </w:rPr>
              <w:t>priceNumber</w:t>
            </w:r>
            <w:proofErr w:type="spellEnd"/>
            <w:r w:rsidR="00506E4E" w:rsidRPr="00506E4E">
              <w:rPr>
                <w:sz w:val="17"/>
                <w:szCs w:val="17"/>
                <w:lang w:eastAsia="ar-SA"/>
              </w:rPr>
              <w:t>}</w:t>
            </w:r>
            <w:r w:rsidR="00506E4E" w:rsidRPr="00506E4E">
              <w:rPr>
                <w:sz w:val="16"/>
                <w:szCs w:val="16"/>
              </w:rPr>
              <w:t xml:space="preserve"> </w:t>
            </w:r>
            <w:r w:rsidR="005952E6" w:rsidRPr="005952E6">
              <w:rPr>
                <w:sz w:val="16"/>
                <w:szCs w:val="16"/>
                <w:highlight w:val="yellow"/>
              </w:rPr>
              <w:t>стоимость тура для туриста</w:t>
            </w:r>
          </w:p>
          <w:p w:rsidR="007A2A40"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506E4E" w:rsidRPr="00EC79CF" w:rsidRDefault="00506E4E" w:rsidP="00E81F27">
            <w:pPr>
              <w:keepNext/>
              <w:keepLines/>
              <w:pBdr>
                <w:bottom w:val="single" w:sz="12" w:space="1" w:color="auto"/>
              </w:pBdr>
              <w:jc w:val="both"/>
              <w:rPr>
                <w:sz w:val="16"/>
                <w:szCs w:val="16"/>
              </w:rPr>
            </w:pPr>
            <w:r w:rsidRPr="00506E4E">
              <w:rPr>
                <w:sz w:val="17"/>
                <w:szCs w:val="17"/>
                <w:lang w:eastAsia="ar-SA"/>
              </w:rPr>
              <w:t>${</w:t>
            </w:r>
            <w:r>
              <w:rPr>
                <w:sz w:val="17"/>
                <w:szCs w:val="17"/>
                <w:lang w:val="en-US" w:eastAsia="ar-SA"/>
              </w:rPr>
              <w:t>priceWord</w:t>
            </w:r>
            <w:r w:rsidRPr="00506E4E">
              <w:rPr>
                <w:sz w:val="17"/>
                <w:szCs w:val="17"/>
                <w:lang w:eastAsia="ar-SA"/>
              </w:rPr>
              <w:t>}</w:t>
            </w:r>
          </w:p>
          <w:p w:rsidR="00A73953" w:rsidRPr="00752D41" w:rsidRDefault="00A73953" w:rsidP="00E81F27">
            <w:pPr>
              <w:keepNext/>
              <w:keepLines/>
              <w:pBdr>
                <w:bottom w:val="single" w:sz="12" w:space="1" w:color="auto"/>
              </w:pBdr>
              <w:jc w:val="both"/>
              <w:rPr>
                <w:sz w:val="16"/>
                <w:szCs w:val="16"/>
              </w:rPr>
            </w:pP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lastRenderedPageBreak/>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6"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6"/>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w:t>
      </w:r>
      <w:r w:rsidR="00EF3F6D" w:rsidRPr="00752D41">
        <w:rPr>
          <w:sz w:val="16"/>
          <w:szCs w:val="16"/>
        </w:rPr>
        <w:t xml:space="preserve">№ </w:t>
      </w:r>
      <w:r w:rsidR="00EF3F6D" w:rsidRPr="009809CC">
        <w:rPr>
          <w:sz w:val="16"/>
          <w:szCs w:val="16"/>
          <w:highlight w:val="yellow"/>
        </w:rPr>
        <w:t>${</w:t>
      </w:r>
      <w:proofErr w:type="spellStart"/>
      <w:r w:rsidR="00EF3F6D" w:rsidRPr="009809CC">
        <w:rPr>
          <w:sz w:val="16"/>
          <w:szCs w:val="16"/>
          <w:highlight w:val="yellow"/>
          <w:lang w:val="en-US"/>
        </w:rPr>
        <w:t>claimId</w:t>
      </w:r>
      <w:proofErr w:type="spellEnd"/>
      <w:r w:rsidR="00EF3F6D" w:rsidRPr="009809CC">
        <w:rPr>
          <w:sz w:val="16"/>
          <w:szCs w:val="16"/>
          <w:highlight w:val="yellow"/>
        </w:rPr>
        <w:t>}</w:t>
      </w:r>
      <w:r w:rsidR="00EF3F6D" w:rsidRPr="00752D41">
        <w:rPr>
          <w:sz w:val="16"/>
          <w:szCs w:val="16"/>
        </w:rPr>
        <w:t xml:space="preserve"> от</w:t>
      </w:r>
      <w:r w:rsidR="00EF3F6D" w:rsidRPr="009809CC">
        <w:rPr>
          <w:sz w:val="16"/>
          <w:szCs w:val="16"/>
        </w:rPr>
        <w:t xml:space="preserve"> </w:t>
      </w:r>
      <w:r w:rsidR="00EF3F6D" w:rsidRPr="009809CC">
        <w:rPr>
          <w:sz w:val="16"/>
          <w:szCs w:val="16"/>
          <w:highlight w:val="yellow"/>
        </w:rPr>
        <w:t>${</w:t>
      </w:r>
      <w:r w:rsidR="00EF3F6D" w:rsidRPr="009809CC">
        <w:rPr>
          <w:sz w:val="16"/>
          <w:szCs w:val="16"/>
          <w:highlight w:val="yellow"/>
          <w:lang w:val="en-US"/>
        </w:rPr>
        <w:t>claimDate</w:t>
      </w:r>
      <w:r w:rsidR="00EF3F6D" w:rsidRPr="009809CC">
        <w:rPr>
          <w:sz w:val="16"/>
          <w:szCs w:val="16"/>
          <w:highlight w:val="yellow"/>
        </w:rPr>
        <w:t>}</w:t>
      </w:r>
      <w:r w:rsidR="00B61A5A" w:rsidRPr="00752D41">
        <w:rPr>
          <w:sz w:val="16"/>
          <w:szCs w:val="16"/>
        </w:rPr>
        <w:t>.</w:t>
      </w:r>
      <w:bookmarkStart w:id="7" w:name="_GoBack"/>
      <w:bookmarkEnd w:id="7"/>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0686C"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6637AB" w:rsidRDefault="00891C53" w:rsidP="00DD5742">
            <w:pPr>
              <w:keepNext/>
              <w:keepLines/>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00F8502B" w:rsidRPr="006637AB">
              <w:rPr>
                <w:sz w:val="17"/>
                <w:szCs w:val="17"/>
              </w:rPr>
              <w:t xml:space="preserve">. </w:t>
            </w:r>
            <w:r w:rsidR="00F8502B" w:rsidRPr="006637AB">
              <w:rPr>
                <w:sz w:val="17"/>
                <w:szCs w:val="17"/>
                <w:highlight w:val="yellow"/>
                <w:lang w:eastAsia="ar-SA"/>
              </w:rPr>
              <w:t>$</w:t>
            </w:r>
            <w:r w:rsidR="00F8502B" w:rsidRPr="006637A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6637AB">
              <w:rPr>
                <w:sz w:val="17"/>
                <w:szCs w:val="17"/>
                <w:highlight w:val="yellow"/>
                <w:lang w:eastAsia="ar-SA"/>
              </w:rPr>
              <w:t>}</w:t>
            </w:r>
          </w:p>
          <w:p w:rsidR="00891C53" w:rsidRPr="006637A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80686C" w:rsidRPr="0080686C">
              <w:rPr>
                <w:sz w:val="17"/>
                <w:szCs w:val="17"/>
                <w:lang w:eastAsia="ar-SA"/>
              </w:rPr>
              <w:t>$</w:t>
            </w:r>
            <w:r w:rsidR="0080686C" w:rsidRPr="0080686C">
              <w:rPr>
                <w:sz w:val="17"/>
                <w:szCs w:val="17"/>
              </w:rPr>
              <w:t>{</w:t>
            </w:r>
            <w:proofErr w:type="spellStart"/>
            <w:r w:rsidR="0080686C" w:rsidRPr="0080686C">
              <w:rPr>
                <w:sz w:val="17"/>
                <w:szCs w:val="17"/>
                <w:lang w:val="en-US"/>
              </w:rPr>
              <w:t>personSurname</w:t>
            </w:r>
            <w:proofErr w:type="spellEnd"/>
            <w:r w:rsidR="0080686C" w:rsidRPr="0080686C">
              <w:rPr>
                <w:sz w:val="17"/>
                <w:szCs w:val="17"/>
                <w:lang w:eastAsia="ar-SA"/>
              </w:rPr>
              <w:t>} ${</w:t>
            </w:r>
            <w:proofErr w:type="spellStart"/>
            <w:r w:rsidR="0080686C" w:rsidRPr="0080686C">
              <w:rPr>
                <w:sz w:val="17"/>
                <w:szCs w:val="17"/>
                <w:lang w:val="en-US" w:eastAsia="ar-SA"/>
              </w:rPr>
              <w:t>personName</w:t>
            </w:r>
            <w:proofErr w:type="spellEnd"/>
            <w:r w:rsidR="0080686C" w:rsidRPr="0080686C">
              <w:rPr>
                <w:sz w:val="17"/>
                <w:szCs w:val="17"/>
                <w:lang w:eastAsia="ar-SA"/>
              </w:rPr>
              <w:t>} ${</w:t>
            </w:r>
            <w:proofErr w:type="spellStart"/>
            <w:r w:rsidR="0080686C" w:rsidRPr="0080686C">
              <w:rPr>
                <w:sz w:val="17"/>
                <w:szCs w:val="17"/>
                <w:lang w:val="en-US" w:eastAsia="ar-SA"/>
              </w:rPr>
              <w:t>personPatronymic</w:t>
            </w:r>
            <w:proofErr w:type="spellEnd"/>
            <w:r w:rsidR="0080686C" w:rsidRPr="0080686C">
              <w:rPr>
                <w:sz w:val="17"/>
                <w:szCs w:val="17"/>
                <w:lang w:eastAsia="ar-SA"/>
              </w:rPr>
              <w:t>}</w:t>
            </w:r>
          </w:p>
          <w:p w:rsidR="0080686C" w:rsidRPr="0080686C"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80686C" w:rsidRPr="0080686C">
              <w:rPr>
                <w:sz w:val="17"/>
                <w:szCs w:val="17"/>
              </w:rPr>
              <w:t>${</w:t>
            </w:r>
            <w:proofErr w:type="spellStart"/>
            <w:r w:rsidR="0080686C">
              <w:rPr>
                <w:sz w:val="17"/>
                <w:szCs w:val="17"/>
                <w:lang w:val="en-US"/>
              </w:rPr>
              <w:t>personPassportSeries</w:t>
            </w:r>
            <w:proofErr w:type="spellEnd"/>
            <w:r w:rsidR="0080686C" w:rsidRPr="0080686C">
              <w:rPr>
                <w:sz w:val="17"/>
                <w:szCs w:val="17"/>
              </w:rPr>
              <w:t>}</w:t>
            </w:r>
            <w:r w:rsidRPr="00D82146">
              <w:rPr>
                <w:sz w:val="16"/>
                <w:szCs w:val="16"/>
              </w:rPr>
              <w:t xml:space="preserve"> </w:t>
            </w:r>
            <w:r w:rsidRPr="00752D41">
              <w:rPr>
                <w:sz w:val="16"/>
                <w:szCs w:val="16"/>
              </w:rPr>
              <w:t>номер</w:t>
            </w:r>
            <w:r w:rsidRPr="00D82146">
              <w:rPr>
                <w:sz w:val="16"/>
                <w:szCs w:val="16"/>
              </w:rPr>
              <w:t xml:space="preserve"> </w:t>
            </w:r>
            <w:r w:rsidR="0080686C" w:rsidRPr="0080686C">
              <w:rPr>
                <w:sz w:val="17"/>
                <w:szCs w:val="17"/>
              </w:rPr>
              <w:t>${</w:t>
            </w:r>
            <w:proofErr w:type="spellStart"/>
            <w:r w:rsidR="0080686C">
              <w:rPr>
                <w:sz w:val="17"/>
                <w:szCs w:val="17"/>
                <w:lang w:val="en-US"/>
              </w:rPr>
              <w:t>personPassportNumber</w:t>
            </w:r>
            <w:proofErr w:type="spellEnd"/>
            <w:r w:rsidR="0080686C" w:rsidRPr="0080686C">
              <w:rPr>
                <w:sz w:val="17"/>
                <w:szCs w:val="17"/>
              </w:rPr>
              <w:t>}</w:t>
            </w:r>
          </w:p>
          <w:p w:rsidR="00CB0E67" w:rsidRPr="0080686C"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80686C" w:rsidRPr="0080686C">
              <w:rPr>
                <w:sz w:val="17"/>
                <w:szCs w:val="17"/>
              </w:rPr>
              <w:t>${</w:t>
            </w:r>
            <w:proofErr w:type="spellStart"/>
            <w:r w:rsidR="0080686C" w:rsidRPr="0080686C">
              <w:rPr>
                <w:sz w:val="17"/>
                <w:szCs w:val="17"/>
                <w:lang w:val="en-US"/>
              </w:rPr>
              <w:t>personPassportIssued</w:t>
            </w:r>
            <w:proofErr w:type="spellEnd"/>
            <w:r w:rsidR="0080686C" w:rsidRPr="0080686C">
              <w:rPr>
                <w:sz w:val="17"/>
                <w:szCs w:val="17"/>
              </w:rPr>
              <w:t>}</w:t>
            </w:r>
            <w:r w:rsidR="008D5D79" w:rsidRPr="00D82146">
              <w:rPr>
                <w:sz w:val="17"/>
                <w:szCs w:val="17"/>
              </w:rPr>
              <w:t xml:space="preserve"> </w:t>
            </w:r>
            <w:r w:rsidR="0080686C" w:rsidRPr="0080686C">
              <w:rPr>
                <w:sz w:val="17"/>
                <w:szCs w:val="17"/>
              </w:rPr>
              <w:t>${</w:t>
            </w:r>
            <w:proofErr w:type="spellStart"/>
            <w:r w:rsidR="0080686C" w:rsidRPr="0080686C">
              <w:rPr>
                <w:sz w:val="17"/>
                <w:szCs w:val="17"/>
                <w:lang w:val="en-US"/>
              </w:rPr>
              <w:t>personPassportDate</w:t>
            </w:r>
            <w:proofErr w:type="spellEnd"/>
            <w:r w:rsidR="0080686C" w:rsidRPr="0080686C">
              <w:rPr>
                <w:sz w:val="17"/>
                <w:szCs w:val="17"/>
              </w:rPr>
              <w:t>}</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w:t>
      </w:r>
      <w:r w:rsidR="00A74426" w:rsidRPr="00752D41">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claimId</w:t>
      </w:r>
      <w:proofErr w:type="spellEnd"/>
      <w:r w:rsidR="00A74426" w:rsidRPr="009809CC">
        <w:rPr>
          <w:sz w:val="16"/>
          <w:szCs w:val="16"/>
          <w:highlight w:val="yellow"/>
        </w:rPr>
        <w:t>}</w:t>
      </w:r>
      <w:r w:rsidR="00A74426" w:rsidRPr="00752D41">
        <w:rPr>
          <w:sz w:val="16"/>
          <w:szCs w:val="16"/>
        </w:rPr>
        <w:t xml:space="preserve"> от</w:t>
      </w:r>
      <w:r w:rsidR="00A74426" w:rsidRPr="009809CC">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claimDate</w:t>
      </w:r>
      <w:proofErr w:type="spellEnd"/>
      <w:r w:rsidR="00A74426" w:rsidRPr="009809CC">
        <w:rPr>
          <w:sz w:val="16"/>
          <w:szCs w:val="16"/>
          <w:highlight w:val="yellow"/>
        </w:rPr>
        <w:t>}</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637AB" w:rsidRDefault="00E406ED" w:rsidP="000144E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FE1712" w:rsidRPr="006637AB">
              <w:rPr>
                <w:sz w:val="17"/>
                <w:szCs w:val="17"/>
              </w:rPr>
              <w:t xml:space="preserve"> </w:t>
            </w:r>
            <w:r w:rsidR="00C329E3" w:rsidRPr="006637AB">
              <w:rPr>
                <w:sz w:val="17"/>
                <w:szCs w:val="17"/>
                <w:highlight w:val="yellow"/>
                <w:lang w:eastAsia="ar-SA"/>
              </w:rPr>
              <w:t>$</w:t>
            </w:r>
            <w:r w:rsidR="00C329E3" w:rsidRPr="006637AB">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637AB">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w:t>
      </w:r>
      <w:r w:rsidR="00A74426" w:rsidRPr="00752D41">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claimId</w:t>
      </w:r>
      <w:proofErr w:type="spellEnd"/>
      <w:r w:rsidR="00A74426" w:rsidRPr="009809CC">
        <w:rPr>
          <w:sz w:val="16"/>
          <w:szCs w:val="16"/>
          <w:highlight w:val="yellow"/>
        </w:rPr>
        <w:t>}</w:t>
      </w:r>
      <w:r w:rsidR="00A74426" w:rsidRPr="00752D41">
        <w:rPr>
          <w:sz w:val="16"/>
          <w:szCs w:val="16"/>
        </w:rPr>
        <w:t xml:space="preserve"> от</w:t>
      </w:r>
      <w:r w:rsidR="00A74426" w:rsidRPr="009809CC">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claimDate</w:t>
      </w:r>
      <w:proofErr w:type="spellEnd"/>
      <w:r w:rsidR="00A74426" w:rsidRPr="009809CC">
        <w:rPr>
          <w:sz w:val="16"/>
          <w:szCs w:val="16"/>
          <w:highlight w:val="yellow"/>
        </w:rPr>
        <w:t>}</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6637AB" w:rsidRDefault="00E406ED" w:rsidP="009F284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80686C" w:rsidRPr="006637AB">
              <w:rPr>
                <w:sz w:val="17"/>
                <w:szCs w:val="17"/>
              </w:rPr>
              <w:t xml:space="preserve"> </w:t>
            </w:r>
            <w:r w:rsidR="0080686C" w:rsidRPr="006637AB">
              <w:rPr>
                <w:sz w:val="17"/>
                <w:szCs w:val="17"/>
                <w:lang w:eastAsia="ar-SA"/>
              </w:rPr>
              <w:t>$</w:t>
            </w:r>
            <w:r w:rsidR="0080686C" w:rsidRPr="006637AB">
              <w:rPr>
                <w:sz w:val="17"/>
                <w:szCs w:val="17"/>
              </w:rPr>
              <w:t>{</w:t>
            </w:r>
            <w:proofErr w:type="spellStart"/>
            <w:r w:rsidR="0080686C" w:rsidRPr="0080686C">
              <w:rPr>
                <w:sz w:val="17"/>
                <w:szCs w:val="17"/>
                <w:lang w:val="en-US"/>
              </w:rPr>
              <w:t>personSurname</w:t>
            </w:r>
            <w:proofErr w:type="spellEnd"/>
            <w:r w:rsidR="0080686C" w:rsidRPr="006637AB">
              <w:rPr>
                <w:sz w:val="17"/>
                <w:szCs w:val="17"/>
                <w:lang w:eastAsia="ar-SA"/>
              </w:rPr>
              <w:t>} ${</w:t>
            </w:r>
            <w:proofErr w:type="spellStart"/>
            <w:r w:rsidR="0080686C" w:rsidRPr="0080686C">
              <w:rPr>
                <w:sz w:val="17"/>
                <w:szCs w:val="17"/>
                <w:lang w:val="en-US" w:eastAsia="ar-SA"/>
              </w:rPr>
              <w:t>personName</w:t>
            </w:r>
            <w:proofErr w:type="spellEnd"/>
            <w:r w:rsidR="0080686C" w:rsidRPr="006637AB">
              <w:rPr>
                <w:sz w:val="17"/>
                <w:szCs w:val="17"/>
                <w:lang w:eastAsia="ar-SA"/>
              </w:rPr>
              <w:t>} ${</w:t>
            </w:r>
            <w:proofErr w:type="spellStart"/>
            <w:r w:rsidR="0080686C" w:rsidRPr="0080686C">
              <w:rPr>
                <w:sz w:val="17"/>
                <w:szCs w:val="17"/>
                <w:lang w:val="en-US" w:eastAsia="ar-SA"/>
              </w:rPr>
              <w:t>personPatronymic</w:t>
            </w:r>
            <w:proofErr w:type="spellEnd"/>
            <w:r w:rsidR="0080686C" w:rsidRPr="006637AB">
              <w:rPr>
                <w:sz w:val="17"/>
                <w:szCs w:val="17"/>
                <w:lang w:eastAsia="ar-SA"/>
              </w:rPr>
              <w:t>}</w:t>
            </w:r>
          </w:p>
          <w:p w:rsidR="00E406ED" w:rsidRPr="006637AB"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72A" w:rsidRDefault="0091572A">
      <w:r>
        <w:separator/>
      </w:r>
    </w:p>
  </w:endnote>
  <w:endnote w:type="continuationSeparator" w:id="0">
    <w:p w:rsidR="0091572A" w:rsidRDefault="0091572A">
      <w:r>
        <w:continuationSeparator/>
      </w:r>
    </w:p>
  </w:endnote>
  <w:endnote w:type="continuationNotice" w:id="1">
    <w:p w:rsidR="0091572A" w:rsidRDefault="00915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EF3F6D">
          <w:rPr>
            <w:noProof/>
            <w:sz w:val="16"/>
            <w:szCs w:val="16"/>
          </w:rPr>
          <w:t>15</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72A" w:rsidRDefault="0091572A">
      <w:r>
        <w:separator/>
      </w:r>
    </w:p>
  </w:footnote>
  <w:footnote w:type="continuationSeparator" w:id="0">
    <w:p w:rsidR="0091572A" w:rsidRDefault="0091572A">
      <w:r>
        <w:continuationSeparator/>
      </w:r>
    </w:p>
  </w:footnote>
  <w:footnote w:type="continuationNotice" w:id="1">
    <w:p w:rsidR="0091572A" w:rsidRDefault="0091572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44EA"/>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C5EF3"/>
    <w:rsid w:val="000C674E"/>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1666"/>
    <w:rsid w:val="000F3220"/>
    <w:rsid w:val="000F32FD"/>
    <w:rsid w:val="000F373E"/>
    <w:rsid w:val="000F43F0"/>
    <w:rsid w:val="000F56E7"/>
    <w:rsid w:val="000F5D1A"/>
    <w:rsid w:val="000F6546"/>
    <w:rsid w:val="000F6F3C"/>
    <w:rsid w:val="000F7004"/>
    <w:rsid w:val="000F7A6C"/>
    <w:rsid w:val="001001D9"/>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0D11"/>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2BF5"/>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87A7A"/>
    <w:rsid w:val="00290512"/>
    <w:rsid w:val="0029069B"/>
    <w:rsid w:val="00290EBF"/>
    <w:rsid w:val="00291530"/>
    <w:rsid w:val="00291C02"/>
    <w:rsid w:val="00293993"/>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843"/>
    <w:rsid w:val="002C3A86"/>
    <w:rsid w:val="002C43BA"/>
    <w:rsid w:val="002C4471"/>
    <w:rsid w:val="002C60DC"/>
    <w:rsid w:val="002C6B8F"/>
    <w:rsid w:val="002C7DDF"/>
    <w:rsid w:val="002D11C6"/>
    <w:rsid w:val="002D22D0"/>
    <w:rsid w:val="002D2ED2"/>
    <w:rsid w:val="002D30CB"/>
    <w:rsid w:val="002E0293"/>
    <w:rsid w:val="002E0443"/>
    <w:rsid w:val="002E0CD5"/>
    <w:rsid w:val="002E1AE7"/>
    <w:rsid w:val="002E1EF2"/>
    <w:rsid w:val="002E3318"/>
    <w:rsid w:val="002E4AC0"/>
    <w:rsid w:val="002E5ED7"/>
    <w:rsid w:val="002E78E2"/>
    <w:rsid w:val="002F2295"/>
    <w:rsid w:val="002F4126"/>
    <w:rsid w:val="002F4DA6"/>
    <w:rsid w:val="002F502C"/>
    <w:rsid w:val="002F6EE4"/>
    <w:rsid w:val="00300CD2"/>
    <w:rsid w:val="00301D15"/>
    <w:rsid w:val="0030376D"/>
    <w:rsid w:val="00303F18"/>
    <w:rsid w:val="00304D2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7D0"/>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031"/>
    <w:rsid w:val="003908B9"/>
    <w:rsid w:val="003909E8"/>
    <w:rsid w:val="00392719"/>
    <w:rsid w:val="00395C59"/>
    <w:rsid w:val="003967B9"/>
    <w:rsid w:val="00396BE0"/>
    <w:rsid w:val="0039729F"/>
    <w:rsid w:val="0039771F"/>
    <w:rsid w:val="003A0BE0"/>
    <w:rsid w:val="003A4B00"/>
    <w:rsid w:val="003A5769"/>
    <w:rsid w:val="003B0C26"/>
    <w:rsid w:val="003B13C8"/>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3570"/>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35E8"/>
    <w:rsid w:val="004B47BB"/>
    <w:rsid w:val="004B494F"/>
    <w:rsid w:val="004B52DD"/>
    <w:rsid w:val="004B7325"/>
    <w:rsid w:val="004B73C8"/>
    <w:rsid w:val="004B7C48"/>
    <w:rsid w:val="004B7D85"/>
    <w:rsid w:val="004C26ED"/>
    <w:rsid w:val="004C3A02"/>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1CA4"/>
    <w:rsid w:val="004E2E2B"/>
    <w:rsid w:val="004E32AF"/>
    <w:rsid w:val="004E3D8A"/>
    <w:rsid w:val="004E4737"/>
    <w:rsid w:val="004E4E55"/>
    <w:rsid w:val="004E4E8D"/>
    <w:rsid w:val="004E6F3C"/>
    <w:rsid w:val="004E7D78"/>
    <w:rsid w:val="004F17C3"/>
    <w:rsid w:val="004F3BD5"/>
    <w:rsid w:val="004F7214"/>
    <w:rsid w:val="004F7F12"/>
    <w:rsid w:val="005033EF"/>
    <w:rsid w:val="00503FB4"/>
    <w:rsid w:val="00505D33"/>
    <w:rsid w:val="00506E4E"/>
    <w:rsid w:val="00507E86"/>
    <w:rsid w:val="00510844"/>
    <w:rsid w:val="00510BEE"/>
    <w:rsid w:val="00512EAB"/>
    <w:rsid w:val="00513F00"/>
    <w:rsid w:val="00514819"/>
    <w:rsid w:val="0051495C"/>
    <w:rsid w:val="00514F8F"/>
    <w:rsid w:val="00515353"/>
    <w:rsid w:val="005155D3"/>
    <w:rsid w:val="00515C41"/>
    <w:rsid w:val="00516CEA"/>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7644A"/>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D3AF9"/>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06"/>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29B"/>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37AB"/>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97BCF"/>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533"/>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51D3"/>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637"/>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037E"/>
    <w:rsid w:val="00772266"/>
    <w:rsid w:val="00774A9F"/>
    <w:rsid w:val="00776626"/>
    <w:rsid w:val="00776B50"/>
    <w:rsid w:val="00776EEA"/>
    <w:rsid w:val="007802B5"/>
    <w:rsid w:val="0078135C"/>
    <w:rsid w:val="00782A7E"/>
    <w:rsid w:val="007830DE"/>
    <w:rsid w:val="0078559F"/>
    <w:rsid w:val="00785817"/>
    <w:rsid w:val="007873A5"/>
    <w:rsid w:val="00787B38"/>
    <w:rsid w:val="00787D0D"/>
    <w:rsid w:val="00792450"/>
    <w:rsid w:val="00793D3F"/>
    <w:rsid w:val="007942C4"/>
    <w:rsid w:val="00794C02"/>
    <w:rsid w:val="00795CC3"/>
    <w:rsid w:val="007966F2"/>
    <w:rsid w:val="00797F2A"/>
    <w:rsid w:val="007A2A40"/>
    <w:rsid w:val="007A2F8B"/>
    <w:rsid w:val="007A7398"/>
    <w:rsid w:val="007A7A97"/>
    <w:rsid w:val="007B0512"/>
    <w:rsid w:val="007B0961"/>
    <w:rsid w:val="007B1872"/>
    <w:rsid w:val="007B23C0"/>
    <w:rsid w:val="007B350C"/>
    <w:rsid w:val="007B5750"/>
    <w:rsid w:val="007B6694"/>
    <w:rsid w:val="007B7D6A"/>
    <w:rsid w:val="007C0386"/>
    <w:rsid w:val="007C0911"/>
    <w:rsid w:val="007C21C6"/>
    <w:rsid w:val="007C359D"/>
    <w:rsid w:val="007C6726"/>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0686C"/>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414"/>
    <w:rsid w:val="009147AD"/>
    <w:rsid w:val="00914973"/>
    <w:rsid w:val="009151B2"/>
    <w:rsid w:val="0091572A"/>
    <w:rsid w:val="00915D08"/>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2D06"/>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1D59"/>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1F62"/>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0DFA"/>
    <w:rsid w:val="00A61918"/>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3953"/>
    <w:rsid w:val="00A74426"/>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B5294"/>
    <w:rsid w:val="00AC4DC8"/>
    <w:rsid w:val="00AC6945"/>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4432"/>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2B98"/>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8AF"/>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C71AF"/>
    <w:rsid w:val="00CD07F6"/>
    <w:rsid w:val="00CD0CDA"/>
    <w:rsid w:val="00CD3F1B"/>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576B9"/>
    <w:rsid w:val="00D60991"/>
    <w:rsid w:val="00D60A16"/>
    <w:rsid w:val="00D62F86"/>
    <w:rsid w:val="00D631D5"/>
    <w:rsid w:val="00D6400B"/>
    <w:rsid w:val="00D6413E"/>
    <w:rsid w:val="00D6450A"/>
    <w:rsid w:val="00D64C17"/>
    <w:rsid w:val="00D650A3"/>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0DA9"/>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3E0F"/>
    <w:rsid w:val="00ED460F"/>
    <w:rsid w:val="00ED4837"/>
    <w:rsid w:val="00ED694A"/>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3F6D"/>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0F28"/>
    <w:rsid w:val="00FE1452"/>
    <w:rsid w:val="00FE1712"/>
    <w:rsid w:val="00FE256B"/>
    <w:rsid w:val="00FE46BC"/>
    <w:rsid w:val="00FE5AD6"/>
    <w:rsid w:val="00FE6047"/>
    <w:rsid w:val="00FE67B3"/>
    <w:rsid w:val="00FE75DD"/>
    <w:rsid w:val="00FF1F17"/>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827944673">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 w:id="2043049610">
      <w:bodyDiv w:val="1"/>
      <w:marLeft w:val="0"/>
      <w:marRight w:val="0"/>
      <w:marTop w:val="0"/>
      <w:marBottom w:val="0"/>
      <w:divBdr>
        <w:top w:val="none" w:sz="0" w:space="0" w:color="auto"/>
        <w:left w:val="none" w:sz="0" w:space="0" w:color="auto"/>
        <w:bottom w:val="none" w:sz="0" w:space="0" w:color="auto"/>
        <w:right w:val="none" w:sz="0" w:space="0" w:color="auto"/>
      </w:divBdr>
      <w:divsChild>
        <w:div w:id="823157907">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C97D-4FF0-44B1-A2B2-46B8CC31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15</Pages>
  <Words>13263</Words>
  <Characters>75603</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88689</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Alexey</cp:lastModifiedBy>
  <cp:revision>321</cp:revision>
  <cp:lastPrinted>2014-12-12T10:30:00Z</cp:lastPrinted>
  <dcterms:created xsi:type="dcterms:W3CDTF">2018-08-29T08:51:00Z</dcterms:created>
  <dcterms:modified xsi:type="dcterms:W3CDTF">2023-06-15T08:17:00Z</dcterms:modified>
</cp:coreProperties>
</file>