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64898">
      <w:pPr>
        <w:pStyle w:val="32"/>
        <w:keepLines w:val="0"/>
        <w:spacing w:before="0" w:after="10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D1D1F"/>
          <w:sz w:val="44"/>
        </w:rPr>
        <w:t>智能旅行助手复现截图说明</w:t>
      </w:r>
    </w:p>
    <w:p w14:paraId="3504664D">
      <w:pPr>
        <w:keepLines w:val="0"/>
        <w:spacing w:before="0" w:after="32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6E6E73"/>
          <w:sz w:val="22"/>
        </w:rPr>
        <w:t>乌鲁木齐三日旅行规划流程与功能验收记录</w:t>
      </w:r>
    </w:p>
    <w:p w14:paraId="72239526">
      <w:pPr>
        <w:keepLines w:val="0"/>
        <w:spacing w:before="0" w:after="120" w:line="312" w:lineRule="auto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1D1D1F"/>
          <w:sz w:val="21"/>
          <w:lang w:val="en-US" w:eastAsia="zh-CN"/>
        </w:rPr>
        <w:t>实现智能旅行助手，打通</w:t>
      </w:r>
      <w:r>
        <w:rPr>
          <w:rFonts w:hint="eastAsia" w:ascii="宋体" w:hAnsi="宋体" w:eastAsia="宋体" w:cs="宋体"/>
          <w:b w:val="0"/>
          <w:color w:val="1D1D1F"/>
          <w:sz w:val="21"/>
        </w:rPr>
        <w:t>从首页填写条件、调用模型生成方案，到结果页展示地图、预算、每日行程、酒店、餐饮和天气的完整</w:t>
      </w:r>
      <w:r>
        <w:rPr>
          <w:rFonts w:hint="eastAsia" w:ascii="宋体" w:hAnsi="宋体" w:eastAsia="宋体" w:cs="宋体"/>
          <w:b w:val="0"/>
          <w:color w:val="1D1D1F"/>
          <w:sz w:val="21"/>
          <w:lang w:val="en-US" w:eastAsia="zh-CN"/>
        </w:rPr>
        <w:t>业务流程</w:t>
      </w:r>
      <w:r>
        <w:rPr>
          <w:rFonts w:hint="eastAsia" w:ascii="宋体" w:hAnsi="宋体" w:eastAsia="宋体" w:cs="宋体"/>
          <w:b w:val="0"/>
          <w:color w:val="1D1D1F"/>
          <w:sz w:val="21"/>
        </w:rPr>
        <w:t>复现过程。</w:t>
      </w:r>
      <w:r>
        <w:rPr>
          <w:rFonts w:hint="eastAsia" w:ascii="宋体" w:hAnsi="宋体" w:eastAsia="宋体" w:cs="宋体"/>
          <w:b w:val="0"/>
          <w:color w:val="1D1D1F"/>
          <w:sz w:val="21"/>
          <w:lang w:val="en-US" w:eastAsia="zh-CN"/>
        </w:rPr>
        <w:t>逐</w:t>
      </w:r>
      <w:r>
        <w:rPr>
          <w:rFonts w:hint="eastAsia" w:ascii="宋体" w:hAnsi="宋体" w:eastAsia="宋体" w:cs="宋体"/>
          <w:b w:val="0"/>
          <w:color w:val="1D1D1F"/>
          <w:sz w:val="21"/>
        </w:rPr>
        <w:t>张说明</w:t>
      </w:r>
      <w:r>
        <w:rPr>
          <w:rFonts w:hint="eastAsia" w:ascii="宋体" w:hAnsi="宋体" w:eastAsia="宋体" w:cs="宋体"/>
          <w:b w:val="0"/>
          <w:color w:val="1D1D1F"/>
          <w:sz w:val="21"/>
          <w:lang w:val="en-US" w:eastAsia="zh-CN"/>
        </w:rPr>
        <w:t>智能旅行助手的</w:t>
      </w:r>
      <w:r>
        <w:rPr>
          <w:rFonts w:hint="eastAsia" w:ascii="宋体" w:hAnsi="宋体" w:eastAsia="宋体" w:cs="宋体"/>
          <w:b w:val="0"/>
          <w:color w:val="1D1D1F"/>
          <w:sz w:val="21"/>
        </w:rPr>
        <w:t>验证内容、复现操作与验收结论，</w:t>
      </w:r>
      <w:r>
        <w:rPr>
          <w:rFonts w:hint="eastAsia" w:ascii="宋体" w:hAnsi="宋体" w:eastAsia="宋体" w:cs="宋体"/>
          <w:b w:val="0"/>
          <w:color w:val="1D1D1F"/>
          <w:sz w:val="21"/>
          <w:lang w:val="en-US" w:eastAsia="zh-CN"/>
        </w:rPr>
        <w:t>为</w:t>
      </w:r>
      <w:bookmarkStart w:id="0" w:name="_GoBack"/>
      <w:bookmarkEnd w:id="0"/>
      <w:r>
        <w:rPr>
          <w:rFonts w:hint="eastAsia" w:ascii="宋体" w:hAnsi="宋体" w:eastAsia="宋体" w:cs="宋体"/>
          <w:b w:val="0"/>
          <w:color w:val="1D1D1F"/>
          <w:sz w:val="21"/>
        </w:rPr>
        <w:t>系统功能验收和过程可复现性提供依据。</w:t>
      </w:r>
      <w:r>
        <w:rPr>
          <w:rFonts w:hint="eastAsia" w:ascii="宋体" w:hAnsi="宋体" w:eastAsia="宋体" w:cs="宋体"/>
          <w:b w:val="0"/>
          <w:color w:val="1D1D1F"/>
          <w:sz w:val="21"/>
          <w:lang w:val="en-US" w:eastAsia="zh-CN"/>
        </w:rPr>
        <w:t>基于本地测试的</w:t>
      </w:r>
      <w:r>
        <w:rPr>
          <w:rFonts w:hint="eastAsia" w:ascii="宋体" w:hAnsi="宋体" w:eastAsia="宋体" w:cs="宋体"/>
          <w:b w:val="0"/>
          <w:color w:val="1D1D1F"/>
          <w:sz w:val="21"/>
        </w:rPr>
        <w:t>文档中6 张截图，</w:t>
      </w:r>
      <w:r>
        <w:rPr>
          <w:rFonts w:hint="eastAsia" w:ascii="宋体" w:hAnsi="宋体" w:eastAsia="宋体" w:cs="宋体"/>
          <w:b w:val="0"/>
          <w:color w:val="1D1D1F"/>
          <w:sz w:val="21"/>
          <w:lang w:val="en-US" w:eastAsia="zh-CN"/>
        </w:rPr>
        <w:t>分别验证说明对应各环节的验证点、操作步骤和验收结论，形成完整的复现证据链。</w:t>
      </w:r>
    </w:p>
    <w:p w14:paraId="68E66198">
      <w:pPr>
        <w:pStyle w:val="3"/>
        <w:keepNext/>
        <w:keepLines w:val="0"/>
        <w:spacing w:before="240" w:after="10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D1D1F"/>
          <w:sz w:val="30"/>
        </w:rPr>
        <w:t>一 复现环境与测试数据</w:t>
      </w:r>
    </w:p>
    <w:p w14:paraId="6103CA2E">
      <w:pPr>
        <w:keepLines w:val="0"/>
        <w:spacing w:before="0" w:after="120" w:line="312" w:lineRule="auto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1D1D1F"/>
          <w:sz w:val="21"/>
        </w:rPr>
        <w:t>测试环境：Windows 本机、Microsoft Edge 浏览器、Vue 3 + Vite 前端、FastAPI 后端。当前项目使用 Live 模式，规划链路包含 DeepSeek 大模型、高德 MCP 服务和高德 Web JS 地图。截图内容不包含任何 API Key 或环境变量。</w:t>
      </w:r>
    </w:p>
    <w:p w14:paraId="659EB81D">
      <w:pPr>
        <w:keepLines w:val="0"/>
        <w:spacing w:before="0" w:after="120" w:line="312" w:lineRule="auto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1D1D1F"/>
          <w:sz w:val="21"/>
        </w:rPr>
        <w:t>测试输入：目的地为乌鲁木齐，旅行日期为 2026-10-14 至 2026-10-16，共 3 天；交通方式为公共交通，住宿偏好为豪华酒店，并选择历史文化、自然风光、美食、购物、艺术和休闲等偏好。</w:t>
      </w:r>
    </w:p>
    <w:p w14:paraId="68727FCE">
      <w:pPr>
        <w:keepLines w:val="0"/>
        <w:spacing w:before="0" w:after="120" w:line="312" w:lineRule="auto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1D1D1F"/>
          <w:sz w:val="21"/>
        </w:rPr>
        <w:t>复现入口：启动前后端后，打开当前地址 http://127.0.0.1:5174/。完整启动命令请参阅同目录下的 USER_STARTUP_GUIDE.md。</w:t>
      </w:r>
    </w:p>
    <w:p w14:paraId="32366D47">
      <w:pPr>
        <w:pStyle w:val="3"/>
        <w:keepNext/>
        <w:keepLines w:val="0"/>
        <w:spacing w:before="240" w:after="10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D1D1F"/>
          <w:sz w:val="30"/>
        </w:rPr>
        <w:t>二 复现总览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584"/>
        <w:gridCol w:w="4392"/>
        <w:gridCol w:w="2160"/>
      </w:tblGrid>
      <w:tr w14:paraId="57C56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54545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BA81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截图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54545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42E64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阶段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54545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22D55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复现重点</w:t>
            </w:r>
          </w:p>
        </w:tc>
        <w:tc>
          <w:tcPr>
            <w:tcW w:w="21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54545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DC27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9"/>
              </w:rPr>
              <w:t>结论</w:t>
            </w:r>
          </w:p>
        </w:tc>
      </w:tr>
      <w:tr w14:paraId="3A8F8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D67A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D1D1F"/>
                <w:sz w:val="18"/>
              </w:rPr>
              <w:t>图 1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F615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首页表单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7607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完成城市、日期、交通、住宿和偏好输入</w:t>
            </w:r>
          </w:p>
        </w:tc>
        <w:tc>
          <w:tcPr>
            <w:tcW w:w="21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38B8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进入生成阶段</w:t>
            </w:r>
          </w:p>
        </w:tc>
      </w:tr>
      <w:tr w14:paraId="205A2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438EE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D1D1F"/>
                <w:sz w:val="18"/>
              </w:rPr>
              <w:t>图 2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A083CA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模型调用中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F0BC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提交后展示加载状态和进度反馈</w:t>
            </w:r>
          </w:p>
        </w:tc>
        <w:tc>
          <w:tcPr>
            <w:tcW w:w="21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C52E0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等待 DeepSeek 与高德服务返回</w:t>
            </w:r>
          </w:p>
        </w:tc>
      </w:tr>
      <w:tr w14:paraId="1FCB2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F3BD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D1D1F"/>
                <w:sz w:val="18"/>
              </w:rPr>
              <w:t>图 3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A2A4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结果总览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25BA3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显示乌鲁木齐 3 日方案、地图和概览</w:t>
            </w:r>
          </w:p>
        </w:tc>
        <w:tc>
          <w:tcPr>
            <w:tcW w:w="21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47871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行程数据已生成</w:t>
            </w:r>
          </w:p>
        </w:tc>
      </w:tr>
      <w:tr w14:paraId="6BC90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94D8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D1D1F"/>
                <w:sz w:val="18"/>
              </w:rPr>
              <w:t>图 4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F2E965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预算和地图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58085D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核对景点标记、路线和费用构成</w:t>
            </w:r>
          </w:p>
        </w:tc>
        <w:tc>
          <w:tcPr>
            <w:tcW w:w="21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4A74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地图与预算信息可用</w:t>
            </w:r>
          </w:p>
        </w:tc>
      </w:tr>
      <w:tr w14:paraId="1E76F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311DB6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D1D1F"/>
                <w:sz w:val="18"/>
              </w:rPr>
              <w:t>图 5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1581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每日行程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638B0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查看每日描述、景点卡片和游览时长</w:t>
            </w:r>
          </w:p>
        </w:tc>
        <w:tc>
          <w:tcPr>
            <w:tcW w:w="21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99B7F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每日行程结构完整</w:t>
            </w:r>
          </w:p>
        </w:tc>
      </w:tr>
      <w:tr w14:paraId="68984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56C38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1D1D1F"/>
                <w:sz w:val="18"/>
              </w:rPr>
              <w:t>图 6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D0AB9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酒店餐饮天气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A36DC">
            <w:pPr>
              <w:spacing w:after="0" w:line="240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核对住宿、餐饮和天气信息</w:t>
            </w:r>
          </w:p>
        </w:tc>
        <w:tc>
          <w:tcPr>
            <w:tcW w:w="216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5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A0FD7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1D1D1F"/>
                <w:sz w:val="18"/>
              </w:rPr>
              <w:t>辅助信息已展示</w:t>
            </w:r>
          </w:p>
        </w:tc>
      </w:tr>
    </w:tbl>
    <w:p w14:paraId="55E30D0B">
      <w:pPr>
        <w:pStyle w:val="16"/>
        <w:keepLines w:val="0"/>
        <w:numPr>
          <w:ilvl w:val="0"/>
          <w:numId w:val="0"/>
        </w:numPr>
        <w:spacing w:before="0" w:after="60" w:line="288" w:lineRule="auto"/>
        <w:ind w:leftChars="0"/>
        <w:rPr>
          <w:rFonts w:hint="eastAsia" w:ascii="宋体" w:hAnsi="宋体" w:eastAsia="宋体" w:cs="宋体"/>
        </w:rPr>
      </w:pPr>
    </w:p>
    <w:p w14:paraId="7CCC29C8">
      <w:pPr>
        <w:pStyle w:val="3"/>
        <w:keepNext/>
        <w:keepLines w:val="0"/>
        <w:spacing w:before="240" w:after="10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D1D1F"/>
          <w:sz w:val="30"/>
          <w:lang w:val="en-US" w:eastAsia="zh-CN"/>
        </w:rPr>
        <w:t>三</w:t>
      </w:r>
      <w:r>
        <w:rPr>
          <w:rFonts w:hint="eastAsia" w:ascii="宋体" w:hAnsi="宋体" w:eastAsia="宋体" w:cs="宋体"/>
          <w:b/>
          <w:color w:val="1D1D1F"/>
          <w:sz w:val="30"/>
        </w:rPr>
        <w:t xml:space="preserve"> 截图说明</w:t>
      </w:r>
    </w:p>
    <w:p w14:paraId="05221A06">
      <w:pPr>
        <w:pStyle w:val="4"/>
        <w:keepNext/>
        <w:keepLines w:val="0"/>
        <w:spacing w:before="160" w:after="10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D1D1F"/>
          <w:sz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color w:val="1D1D1F"/>
          <w:sz w:val="24"/>
        </w:rPr>
        <w:t>.1 首页输入与主题展示</w:t>
      </w:r>
    </w:p>
    <w:p w14:paraId="7197FB97">
      <w:pPr>
        <w:keepLines w:val="0"/>
        <w:spacing w:before="0" w:after="120" w:line="312" w:lineRule="auto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1D1D1F"/>
          <w:sz w:val="21"/>
        </w:rPr>
        <w:t>确认首页能够加载，旅行规划表单、导航、灰阶主题和响应式布局正常。打开首页后输入目的地和日期，再选择交通方式、住宿偏好以及兴趣标签；截图保留了提交前的表单状态。页面顶部展示旅程设计导航和智能规划状态；中部展示“出发之前，先想象抵达”的首页主视觉；表单分为目的地与日期、旅行方式、补充要求三个阶段。首页页面结构清晰，必填项、日期选择、下拉选择和偏好标签均已呈现，满足开始一次行程规划所需的输入条件。</w:t>
      </w:r>
    </w:p>
    <w:p w14:paraId="49126D69">
      <w:pPr>
        <w:keepLines w:val="0"/>
        <w:spacing w:before="10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691505" cy="6050280"/>
            <wp:effectExtent l="0" t="0" r="44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1505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2C5C">
      <w:pPr>
        <w:keepLines w:val="0"/>
        <w:spacing w:before="0" w:after="20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6E6E73"/>
          <w:sz w:val="18"/>
        </w:rPr>
        <w:t>图 1 首页输入与高级灰主题</w:t>
      </w:r>
    </w:p>
    <w:p w14:paraId="5FBB4422">
      <w:pPr>
        <w:pStyle w:val="4"/>
        <w:keepNext/>
        <w:keepLines w:val="0"/>
        <w:spacing w:before="160" w:after="10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D1D1F"/>
          <w:sz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color w:val="1D1D1F"/>
          <w:sz w:val="24"/>
        </w:rPr>
        <w:t>.2 DeepSeek 与外部服务调用过程</w:t>
      </w:r>
    </w:p>
    <w:p w14:paraId="6D13EEC9">
      <w:pPr>
        <w:keepLines w:val="0"/>
        <w:spacing w:before="0" w:after="120" w:line="312" w:lineRule="auto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1D1D1F"/>
          <w:sz w:val="21"/>
        </w:rPr>
        <w:t>确认点击生成后，前端不会停留在无反馈状态，而是向用户说明正在规划并展示进度。完成首页输入后点击生成旅行方案，观察按钮文本、进度条和加载说明；等待接口返回期间不要重复点击。生成按钮变为加载状态，页面出现进度条和“正在整理你的旅行方案”等状态文字，表明前端正在等待后端规划服务。加载状态为用户提供了明确反馈；该阶段对应后端调用 DeepSeek 和高德服务、整理旅行计划数据的过程。</w:t>
      </w:r>
    </w:p>
    <w:p w14:paraId="501E0DBB">
      <w:pPr>
        <w:keepLines w:val="0"/>
        <w:spacing w:before="10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806440" cy="6012815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1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4D39">
      <w:pPr>
        <w:keepLines w:val="0"/>
        <w:spacing w:before="0" w:after="20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6E6E73"/>
          <w:sz w:val="18"/>
        </w:rPr>
        <w:t>图 2 旅行方案生成中的加载反馈</w:t>
      </w:r>
    </w:p>
    <w:p w14:paraId="34CFBBA8">
      <w:pPr>
        <w:pStyle w:val="4"/>
        <w:keepNext/>
        <w:keepLines w:val="0"/>
        <w:spacing w:before="160" w:after="10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D1D1F"/>
          <w:sz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color w:val="1D1D1F"/>
          <w:sz w:val="24"/>
        </w:rPr>
        <w:t>.3 结果页概览与景点地图</w:t>
      </w:r>
    </w:p>
    <w:p w14:paraId="572FE409">
      <w:pPr>
        <w:keepLines w:val="0"/>
        <w:spacing w:before="0" w:after="120" w:line="312" w:lineRule="auto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1D1D1F"/>
          <w:sz w:val="21"/>
        </w:rPr>
        <w:t>确认接口返回后能够进入结果页，并同时展示城市、日期、建议文本和高德地图。等待生成完成后进入结果页，在页面顶部查看城市名称和日期，在右侧地图区域检查地图是否加载、景点标记是否出现。页面标题为乌鲁木齐，顶部有“YOUR ITINERARY”标识；左侧为行程概览和建议，右侧为景点地图，地图上出现编号标记。行程结果已成功从后端传递到前端；地图、景点标记和路线区域可用于进一步核对景点坐标与行程顺序。</w:t>
      </w:r>
    </w:p>
    <w:p w14:paraId="6515CDA1">
      <w:pPr>
        <w:keepLines w:val="0"/>
        <w:spacing w:before="10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806440" cy="2968625"/>
            <wp:effectExtent l="0" t="0" r="381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5E9F">
      <w:pPr>
        <w:keepLines w:val="0"/>
        <w:spacing w:before="0" w:after="20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6E6E73"/>
          <w:sz w:val="18"/>
        </w:rPr>
        <w:t>图 3 结果页概览与高德地图</w:t>
      </w:r>
    </w:p>
    <w:p w14:paraId="682E80D4">
      <w:pPr>
        <w:pStyle w:val="4"/>
        <w:keepNext/>
        <w:keepLines w:val="0"/>
        <w:spacing w:before="160" w:after="10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D1D1F"/>
          <w:sz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color w:val="1D1D1F"/>
          <w:sz w:val="24"/>
        </w:rPr>
        <w:t>.4 地图路线与预算明细</w:t>
      </w:r>
    </w:p>
    <w:p w14:paraId="2EC6182F">
      <w:pPr>
        <w:keepLines w:val="0"/>
        <w:spacing w:before="0" w:after="120" w:line="312" w:lineRule="auto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1D1D1F"/>
          <w:sz w:val="21"/>
        </w:rPr>
        <w:t>确认地图展示不仅有中心位置，还能支撑多个景点标记；同时核对预算模块是否完成汇总。在结果页向下滚动，查看地图范围和景点编号，再检查预算明细中的门票、住宿、餐饮、交通和总费用。地图区域显示乌鲁木齐及周边道路和多个标记点；左侧预算卡片展示景点门票 ¥240、酒店住宿 ¥2250、餐饮费用 ¥880、交通费用 ¥135，预计总费用为 ¥3505。地图坐标和预算字段均已在结果页正确渲染。预算为当前测试输入下的估算值，实际出行前仍应以官方票价、酒店价格和实时交通为准。</w:t>
      </w:r>
    </w:p>
    <w:p w14:paraId="5A617110">
      <w:pPr>
        <w:keepLines w:val="0"/>
        <w:spacing w:before="10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806440" cy="3587750"/>
            <wp:effectExtent l="0" t="0" r="381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8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9109">
      <w:pPr>
        <w:keepLines w:val="0"/>
        <w:spacing w:before="0" w:after="20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6E6E73"/>
          <w:sz w:val="18"/>
        </w:rPr>
        <w:t>图 4 地图路线与预算明细</w:t>
      </w:r>
    </w:p>
    <w:p w14:paraId="4FDB2418">
      <w:pPr>
        <w:pStyle w:val="4"/>
        <w:keepNext/>
        <w:keepLines w:val="0"/>
        <w:spacing w:before="160" w:after="10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D1D1F"/>
          <w:sz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color w:val="1D1D1F"/>
          <w:sz w:val="24"/>
        </w:rPr>
        <w:t>.5 每日行程与景点卡片</w:t>
      </w:r>
    </w:p>
    <w:p w14:paraId="7CB1F594">
      <w:pPr>
        <w:keepLines w:val="0"/>
        <w:spacing w:before="0" w:after="120" w:line="312" w:lineRule="auto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1D1D1F"/>
          <w:sz w:val="21"/>
        </w:rPr>
        <w:t>确认多日方案以可读的日程结构展示，并能查看每个景点的名称、地址、时长和描述。在侧边导航点击每日行程，展开第 1 天；检查行程描述、交通、住宿和景点卡片，继续确认第 2 天、第 3 天可以展开。</w:t>
      </w:r>
    </w:p>
    <w:p w14:paraId="69CA680B">
      <w:pPr>
        <w:keepLines w:val="0"/>
        <w:spacing w:before="0" w:after="12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1D1D1F"/>
          <w:sz w:val="21"/>
        </w:rPr>
        <w:t>第 1 天面板展开，显示日期、行程描述、交通方式和住宿；下方以卡片形式列出红山公园、人民公园等景点，并显示游览时长和介绍。每日行程数据已按天组织，景点卡片结构完整；该区域也是后续编辑、排序、新增和删除景点功能的主要入口。</w:t>
      </w:r>
    </w:p>
    <w:p w14:paraId="414B9ADB">
      <w:pPr>
        <w:keepLines w:val="0"/>
        <w:spacing w:before="10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806440" cy="2941320"/>
            <wp:effectExtent l="0" t="0" r="381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6CBC">
      <w:pPr>
        <w:keepLines w:val="0"/>
        <w:spacing w:before="0" w:after="20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6E6E73"/>
          <w:sz w:val="18"/>
        </w:rPr>
        <w:t>图 5 每日行程与景点卡片</w:t>
      </w:r>
    </w:p>
    <w:p w14:paraId="69836F97">
      <w:pPr>
        <w:keepLine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315FCE68">
      <w:pPr>
        <w:pStyle w:val="4"/>
        <w:keepNext/>
        <w:keepLines w:val="0"/>
        <w:spacing w:before="160" w:after="10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D1D1F"/>
          <w:sz w:val="24"/>
          <w:lang w:val="en-US" w:eastAsia="zh-CN"/>
        </w:rPr>
        <w:t>3</w:t>
      </w:r>
      <w:r>
        <w:rPr>
          <w:rFonts w:hint="eastAsia" w:ascii="宋体" w:hAnsi="宋体" w:eastAsia="宋体" w:cs="宋体"/>
          <w:b/>
          <w:color w:val="1D1D1F"/>
          <w:sz w:val="24"/>
        </w:rPr>
        <w:t>.6 住宿餐饮与天气信息</w:t>
      </w:r>
    </w:p>
    <w:p w14:paraId="19CCA5B5">
      <w:pPr>
        <w:keepLines w:val="0"/>
        <w:spacing w:before="0" w:after="120" w:line="312" w:lineRule="auto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1D1D1F"/>
          <w:sz w:val="21"/>
        </w:rPr>
        <w:t>确认每日行程的辅助信息能够继续渲染，避免只生成景点而缺少住宿、餐饮和天气内容。</w:t>
      </w:r>
    </w:p>
    <w:p w14:paraId="57FB6D68">
      <w:pPr>
        <w:keepLines w:val="0"/>
        <w:spacing w:before="0" w:after="120" w:line="312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1D1D1F"/>
          <w:sz w:val="21"/>
        </w:rPr>
        <w:t>继续向下滚动第 1 天内容，检查住宿推荐、餐饮安排；再查看底部天气信息卡片，核对日期、白天和夜间天气、温度及风力。页面展示乌鲁木齐酒店推荐、早餐午餐晚餐安排，以及 2026-10-14 至 2026-10-16 三天的天气信息和风向风力。旅行计划的景点、住宿、餐饮和天气模块均已形成闭环，满足结果页作为完整旅行方案的基本展示要求。天气和价格属于动态信息，正式使用前应再次查询。</w:t>
      </w:r>
    </w:p>
    <w:p w14:paraId="5707778E">
      <w:pPr>
        <w:keepLines w:val="0"/>
        <w:spacing w:before="100" w:after="4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806440" cy="2961005"/>
            <wp:effectExtent l="0" t="0" r="381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B58D">
      <w:pPr>
        <w:keepLines w:val="0"/>
        <w:spacing w:before="0" w:after="200" w:line="240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6E6E73"/>
          <w:sz w:val="18"/>
        </w:rPr>
        <w:t>图 6 住宿餐饮与天气信息</w:t>
      </w:r>
    </w:p>
    <w:p w14:paraId="2B3ADC4D">
      <w:pPr>
        <w:pStyle w:val="3"/>
        <w:keepNext/>
        <w:keepLines w:val="0"/>
        <w:spacing w:before="240" w:after="100" w:line="276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D1D1F"/>
          <w:sz w:val="30"/>
          <w:lang w:val="en-US" w:eastAsia="zh-CN"/>
        </w:rPr>
        <w:t>四</w:t>
      </w:r>
      <w:r>
        <w:rPr>
          <w:rFonts w:hint="eastAsia" w:ascii="宋体" w:hAnsi="宋体" w:eastAsia="宋体" w:cs="宋体"/>
          <w:b/>
          <w:color w:val="1D1D1F"/>
          <w:sz w:val="30"/>
        </w:rPr>
        <w:t xml:space="preserve"> 复现结论与后续检查</w:t>
      </w:r>
    </w:p>
    <w:p w14:paraId="62B070B6">
      <w:pPr>
        <w:keepLines w:val="0"/>
        <w:spacing w:before="0" w:after="120" w:line="312" w:lineRule="auto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1D1D1F"/>
          <w:sz w:val="21"/>
          <w:lang w:val="en-US" w:eastAsia="zh-CN"/>
        </w:rPr>
        <w:t>上述</w:t>
      </w:r>
      <w:r>
        <w:rPr>
          <w:rFonts w:hint="eastAsia" w:ascii="宋体" w:hAnsi="宋体" w:eastAsia="宋体" w:cs="宋体"/>
          <w:b w:val="0"/>
          <w:color w:val="1D1D1F"/>
          <w:sz w:val="21"/>
        </w:rPr>
        <w:t>截图证明了智能旅行助手从表单输入、模型调用、结果生成到地图和辅助信息展示的完整前端流程。截图重点覆盖了用户可见的主要路径，适合作为开发交接、接口联调和界面验收的基线材料。</w:t>
      </w:r>
    </w:p>
    <w:p w14:paraId="5C27263A">
      <w:pPr>
        <w:keepLines w:val="0"/>
        <w:spacing w:before="0" w:after="120" w:line="312" w:lineRule="auto"/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1D1D1F"/>
          <w:sz w:val="21"/>
        </w:rPr>
        <w:t>继续复现时应优先检查后端 /health 是否返回 healthy、/api/map/health 是否显示 live 和 mcp_tools_count=16，然后再打开前端页面。若地图加载失败但行程文字、预算和离线路线示意仍显示，应优先检查高德 Web JS Key、安全密钥和前端端口，而不是重复提交行程。</w:t>
      </w:r>
    </w:p>
    <w:p w14:paraId="77797C01">
      <w:pPr>
        <w:keepLines w:val="0"/>
        <w:spacing w:before="0" w:after="120" w:line="312" w:lineRule="auto"/>
        <w:rPr>
          <w:rFonts w:hint="eastAsia" w:ascii="宋体" w:hAnsi="宋体" w:eastAsia="宋体" w:cs="宋体"/>
        </w:rPr>
      </w:pPr>
    </w:p>
    <w:sectPr>
      <w:pgSz w:w="12240" w:h="15840"/>
      <w:pgMar w:top="936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8E568A"/>
    <w:rsid w:val="4C6A56AA"/>
    <w:rsid w:val="7E56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微软雅黑" w:cstheme="minorBidi"/>
      <w:color w:val="1D1D1F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D1D1F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D1D1F"/>
      <w:sz w:val="24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2033</Words>
  <Characters>2269</Characters>
  <Lines>0</Lines>
  <Paragraphs>0</Paragraphs>
  <TotalTime>78</TotalTime>
  <ScaleCrop>false</ScaleCrop>
  <LinksUpToDate>false</LinksUpToDate>
  <CharactersWithSpaces>2363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WPS_1789799400</cp:lastModifiedBy>
  <dcterms:modified xsi:type="dcterms:W3CDTF">2026-10-08T12:54:25Z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eyJoZGlkIjoiMTFmNWI5N2Q5YzlmYjhjMmJlOTlkOThlODVhMjQ4MDciLCJ1c2VySWQiOiIxOTA4NjMyMTkwIn0=</vt:lpwstr>
  </property>
  <property fmtid="{D5CDD505-2E9C-101B-9397-08002B2CF9AE}" pid="3" name="KSOProductBuildVer">
    <vt:lpwstr>2052-12.1.0.28505</vt:lpwstr>
  </property>
  <property fmtid="{D5CDD505-2E9C-101B-9397-08002B2CF9AE}" pid="4" name="ICV">
    <vt:lpwstr>BE3B87FF7FA24A60A33607A77B1A8F27_12</vt:lpwstr>
  </property>
</Properties>
</file>