
<file path=[Content_Types].xml><?xml version="1.0" encoding="utf-8"?>
<Types xmlns="http://schemas.openxmlformats.org/package/2006/content-types">
  <Default Extension="png" ContentType="image/png"/>
  <Default Extension="rels" ContentType="application/vnd.openxmlformats-package.relationships+xml"/>
  <Default Extension="tiff" ContentType="image/tiff"/>
  <Default Extension="wmf" ContentType="image/x-wmf"/>
  <Default Extension="xml" ContentType="application/xml"/>
  <Override PartName="/word/document.xml" ContentType="application/vnd.openxmlformats-officedocument.wordprocessingml.document.main+xml"/>
  <Override PartName="/word/embeddings/oleObject1.bin" ContentType="application/vnd.openxmlformats-officedocument.oleObject"/>
  <Override PartName="/word/fontTable.xml" ContentType="application/vnd.openxmlformats-officedocument.wordprocessingml.fontTable+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pPr>
        <w:pStyle w:val="Title"/>
      </w:pPr>
      <w:r>
        <w:rPr>
          <w:b w:val="0"/>
          <w:i w:val="0"/>
        </w:rPr>
        <w:t>Dara Manqué : une plateforme de carte médicale intelligente combinant NFC réel et intelligence artificielle</w:t>
      </w:r>
    </w:p>
    <w:p>
      <w:pPr>
        <w:jc w:val="center"/>
      </w:pPr>
      <w:r>
        <w:rPr>
          <w:b w:val="0"/>
          <w:i w:val="0"/>
        </w:rPr>
        <w:t>[Noms des auteurs]</w:t>
      </w:r>
    </w:p>
    <w:p>
      <w:pPr>
        <w:jc w:val="center"/>
      </w:pPr>
      <w:r>
        <w:rPr>
          <w:b w:val="0"/>
          <w:i/>
        </w:rPr>
        <w:t>[Établissement]</w:t>
      </w:r>
    </w:p>
    <w:p>
      <w:pPr/>
    </w:p>
    <w:p>
      <w:pPr/>
      <w:r>
        <w:rPr>
          <w:b/>
          <w:i/>
        </w:rPr>
        <w:t>Résumé—</w:t>
      </w:r>
      <w:r>
        <w:rPr>
          <w:i/>
        </w:rPr>
        <w:t>Au Sénégal comme dans de nombreux pays, le dossier médical du patient reste fragmenté, majoritairement sur support papier (carnet de santé), ce qui complique la continuité des soins, la prévention des accidents allergiques et la lutte contre le nomadisme médical. Cet article présente Dara Manqué, une plateforme de carte médicale intelligente qui remplace le carnet papier par une carte NFC agissant comme clé d'accès sécurisée à un dossier centralisé côté serveur. La solution s'articule autour d'un backend FastAPI/PostgreSQL, d'un portail web React (médecin et pharmacien), d'une application mobile (patient) et d'un lecteur matériel NFC (ESP32 + module RC522) qui lit l'identifiant unique (UID) intrinsèque d'une carte physique et le transmet au backend. Quatre axes de différenciation guident le projet : (1) une carte NFC réelle et matérielle ; (2) une alerte d'allergie assistée par un moteur de cross-réactivité médicament-allergie ; (3) un mode d'urgence hors-ligne ; (4) une ordonnance signée à usage unique. Un module « Analytics IA » en cours d'intégration expose deux modèles scikit-learn pré-entraînés — prévision d'affluence hospitalière (réseau de neurones) et détection de nomadisme médical (Isolation Forest). Les données alimentant ces modèles proviennent d'un jeu de démonstration synthétique et non de données patient réelles.</w:t>
      </w:r>
    </w:p>
    <w:p>
      <w:pPr/>
      <w:r>
        <w:rPr>
          <w:b/>
          <w:i/>
        </w:rPr>
        <w:t>Termes d'indexation—</w:t>
      </w:r>
      <w:r>
        <w:rPr>
          <w:i/>
        </w:rPr>
        <w:t>apprentissage automatique, carte médicale, détection d'anomalies, FastAPI, Isolation Forest, NFC, RC522, santé numérique, scikit-learn.</w:t>
      </w:r>
    </w:p>
    <w:p>
      <w:pPr>
        <w:pStyle w:val="Heading1"/>
      </w:pPr>
      <w:r>
        <w:rPr>
          <w:b w:val="0"/>
          <w:i w:val="0"/>
        </w:rPr>
        <w:t>I. Introduction</w:t>
      </w:r>
    </w:p>
    <w:p>
      <w:pPr/>
      <w:r>
        <w:rPr>
          <w:b w:val="0"/>
          <w:i w:val="0"/>
        </w:rPr>
        <w:t>Dans le contexte sanitaire sénégalais et plus largement ouest-africain, le suivi médical d'un patient repose encore largement sur le carnet de santé papier. Ce support présente plusieurs limites structurelles : il est facilement perdu ou détérioré, il n'est pas consultable à distance, il fragmente l'historique du patient entre plusieurs praticiens et établissements, et il n'offre aucun garde-fou automatique contre les erreurs de prescription. Ces limites ont des conséquences directes : accidents allergiques évitables, redondance d'examens, difficulté à reconstituer un dossier en situation d'urgence, et nomadisme médical.</w:t>
      </w:r>
    </w:p>
    <w:p>
      <w:pPr/>
      <w:r>
        <w:rPr>
          <w:b w:val="0"/>
          <w:i w:val="0"/>
        </w:rPr>
        <w:t>Dara Manqué propose de remplacer le carnet papier par une carte médicale intelligente. La carte n'héberge pas les données médicales : elle agit comme une clé d'accès vers un dossier centralisé et sécurisé côté serveur. L'ensemble des données cliniques (allergies, maladies chroniques, consultations, ordonnances) réside dans une base de données unique, accessible par les professionnels de santé autorisés.</w:t>
      </w:r>
    </w:p>
    <w:p>
      <w:pPr/>
      <w:r>
        <w:rPr>
          <w:b w:val="0"/>
          <w:i w:val="0"/>
        </w:rPr>
        <w:t>Les contributions de ce travail sont les suivantes :</w:t>
      </w:r>
    </w:p>
    <w:p>
      <w:pPr/>
      <w:r>
        <w:rPr>
          <w:b w:val="0"/>
          <w:i w:val="0"/>
        </w:rPr>
        <w:t>1) Une architecture complète et fonctionnelle (backend, web, mobile, matériel) autour d'une carte physique dont l'UID NFC sert d'identifiant. 2) Un lecteur matériel réel (ESP32 + RC522) intégré de bout en bout à la chaîne applicative. 3) Un moteur de détection de conflits médicament-allergie fondé sur des classes de cross-réactivité, intégré au flux de prescription. 4) L'amorce d'un module d'analyse par apprentissage automatique (prévision d'affluence et détection d'anomalies comportementales).</w:t>
      </w:r>
    </w:p>
    <w:p>
      <w:pPr>
        <w:pStyle w:val="Heading1"/>
      </w:pPr>
      <w:r>
        <w:rPr>
          <w:b w:val="0"/>
          <w:i w:val="0"/>
        </w:rPr>
        <w:t>II. État de l'Art et Positionnement</w:t>
      </w:r>
    </w:p>
    <w:p>
      <w:pPr/>
      <w:r>
        <w:rPr>
          <w:b w:val="0"/>
          <w:i w:val="0"/>
        </w:rPr>
        <w:t>Le projet s'inscrit dans un cadre académique où une équipe concurrente développe un cahier des charges identique. Le positionnement de Dara Manqué consiste donc à se différencier non par le périmètre fonctionnel de base (dossier médical en ligne), mais par la profondeur technique et l'innovation perçue. Là où une solution concurrente se limite à un « carnet de santé en ligne », Dara Manqué vise une carte physique réelle, fonctionnant potentiellement hors-ligne, difficilement falsifiable et augmentée d'intelligence artificielle.</w:t>
      </w:r>
    </w:p>
    <w:p>
      <w:pPr/>
      <w:r>
        <w:rPr>
          <w:b w:val="0"/>
          <w:i w:val="0"/>
        </w:rPr>
        <w:t>Quatre axes de différenciation structurent cette ambition :</w:t>
      </w:r>
    </w:p>
    <w:p>
      <w:pPr/>
      <w:r>
        <w:rPr>
          <w:b w:val="0"/>
          <w:i w:val="0"/>
        </w:rPr>
        <w:t>Axe 1 — Carte NFC réelle (livré). Plutôt que de simuler la carte par un simple identifiant numérique, la solution s'appuie sur un lecteur matériel qui lit l'UID d'usine d'une carte RFID 13,56 MHz (norme ISO/IEC 14443).</w:t>
      </w:r>
    </w:p>
    <w:p>
      <w:pPr/>
      <w:r>
        <w:rPr>
          <w:b w:val="0"/>
          <w:i w:val="0"/>
        </w:rPr>
        <w:t>Axe 2 — Alerte allergie assistée (livré). Un moteur de cross-réactivité bloque les prescriptions en conflit avec les allergies connues du patient.</w:t>
      </w:r>
    </w:p>
    <w:p>
      <w:pPr/>
      <w:r>
        <w:rPr>
          <w:b w:val="0"/>
          <w:i w:val="0"/>
        </w:rPr>
        <w:t>Axe 3 — Urgence hors-ligne « break glass » (prévu). Un instantané chiffré et signé (groupe sanguin, allergies, maladies chroniques) serait lisible sur la carte sans réseau.</w:t>
      </w:r>
    </w:p>
    <w:p>
      <w:pPr/>
      <w:r>
        <w:rPr>
          <w:b w:val="0"/>
          <w:i w:val="0"/>
        </w:rPr>
        <w:t>Axe 4 — Ordonnance signée à usage unique (prévu). Le médecin signe l'ordonnance, le pharmacien la « brûle » à la délivrance ; toute réutilisation ou falsification est rejetée cryptographiquement.</w:t>
      </w:r>
    </w:p>
    <w:p>
      <w:pPr/>
      <w:r>
        <w:rPr>
          <w:b w:val="0"/>
          <w:i w:val="0"/>
        </w:rPr>
        <w:t>Les axes 1 et 2 sont implémentés et démontrables ; les axes 3 et 4 sont conçus mais non encore développés.</w:t>
      </w:r>
    </w:p>
    <w:p>
      <w:pPr>
        <w:pStyle w:val="Heading1"/>
      </w:pPr>
      <w:r>
        <w:rPr>
          <w:b w:val="0"/>
          <w:i w:val="0"/>
        </w:rPr>
        <w:t>III. Architecture du Système</w:t>
      </w:r>
    </w:p>
    <w:p>
      <w:pPr/>
      <w:r>
        <w:rPr>
          <w:b w:val="0"/>
          <w:i w:val="0"/>
        </w:rPr>
        <w:t>Dara Manqué adopte une architecture répartie en quatre composants complémentaires.</w:t>
      </w:r>
    </w:p>
    <w:p>
      <w:pPr>
        <w:pStyle w:val="Heading2"/>
      </w:pPr>
      <w:r>
        <w:rPr>
          <w:b w:val="0"/>
          <w:i w:val="0"/>
        </w:rPr>
        <w:t>A. Backend — FastAPI et PostgreSQL</w:t>
      </w:r>
    </w:p>
    <w:p>
      <w:pPr/>
      <w:r>
        <w:rPr>
          <w:b w:val="0"/>
          <w:i w:val="0"/>
        </w:rPr>
        <w:t>Le cœur applicatif est une API REST développée en Python 3.12 avec FastAPI, adossée à une base PostgreSQL via l'ORM SQLAlchemy 2.0 et gérée en versions par Alembic. Le schéma de données repose sur quatre entités principales : users (médecins et pharmaciens), patients (dont la colonne card_uid, unique et indexée, porte l'UID de la carte), consultations et prescriptions. L'authentification des professionnels s'appuie sur des jetons JWT signés (python-jose) et un hachage de mot de passe bcrypt (passlib).</w:t>
      </w:r>
    </w:p>
    <w:p>
      <w:pPr>
        <w:pStyle w:val="Heading2"/>
      </w:pPr>
      <w:r>
        <w:rPr>
          <w:b w:val="0"/>
          <w:i w:val="0"/>
        </w:rPr>
        <w:t>B. Portail Web — React</w:t>
      </w:r>
    </w:p>
    <w:p>
      <w:pPr/>
      <w:r>
        <w:rPr>
          <w:b w:val="0"/>
          <w:i w:val="0"/>
        </w:rPr>
        <w:t>Un portail React 19 (TypeScript, Vite) sert les interfaces médecin et pharmacien : recherche et consultation du dossier patient, création de prescriptions avec alerte d'allergie en temps réel, et suivi/traitement des ordonnances. Une borne de lecture de carte (« CardStation ») intégrée au tableau de bord médecin interroge périodiquement le backend pour réagir aux cartes présentées sur le lecteur physique.</w:t>
      </w:r>
    </w:p>
    <w:p>
      <w:pPr>
        <w:pStyle w:val="Heading2"/>
      </w:pPr>
      <w:r>
        <w:rPr>
          <w:b w:val="0"/>
          <w:i w:val="0"/>
        </w:rPr>
        <w:t>C. Application Mobile — Patient</w:t>
      </w:r>
    </w:p>
    <w:p>
      <w:pPr/>
      <w:r>
        <w:rPr>
          <w:b w:val="0"/>
          <w:i w:val="0"/>
        </w:rPr>
        <w:t>Une application mobile (Flutter) permet au patient de s'identifier par l'UID de sa carte et de consulter ses prescriptions et consultations.</w:t>
      </w:r>
    </w:p>
    <w:p>
      <w:pPr>
        <w:pStyle w:val="Heading2"/>
      </w:pPr>
      <w:r>
        <w:rPr>
          <w:b w:val="0"/>
          <w:i w:val="0"/>
        </w:rPr>
        <w:t>D. Matériel — Lecteur NFC ESP32 + RC522</w:t>
      </w:r>
    </w:p>
    <w:p>
      <w:pPr/>
      <w:r>
        <w:rPr>
          <w:b w:val="0"/>
          <w:i w:val="0"/>
        </w:rPr>
        <w:t>Un microcontrôleur ESP32 piloté par un module RFID RC522 (13,56 MHz) lit l'UID intrinsèque de la carte lorsqu'elle est posée. Un pont série (serial_bridge.py) lit l'UID sur le port USB et le transmet au backend. Aucune donnée n'est gravée sur la carte : l'UID d'usine suffit à l'identifier.</w:t>
      </w:r>
    </w:p>
    <w:p>
      <w:pPr>
        <w:pStyle w:val="Heading2"/>
      </w:pPr>
      <w:r>
        <w:rPr>
          <w:b w:val="0"/>
          <w:i w:val="0"/>
        </w:rPr>
        <w:t>E. Flux « carte scannée → dossier patient »</w:t>
      </w:r>
    </w:p>
    <w:p>
      <w:pPr/>
      <w:r>
        <w:rPr>
          <w:b w:val="0"/>
          <w:i w:val="0"/>
        </w:rPr>
        <w:t>La chaîne de bout en bout se déroule ainsi : la carte est approchée du lecteur ; l'ESP32 lit l'UID et l'imprime sur le port série (UID:&lt;HEX&gt;) ; le pont série effectue un POST /cards/scan ; le backend normalise l'UID (forme compacte majuscule, via normalize_uid), le résout en patient et enregistre le scan dans un tampon mémoire (scan_state) muni d'un compteur seq ; le tableau de bord web interroge GET /cards/last-scan et, lorsque seq change, ouvre le dossier du patient (carte connue) ou un formulaire d'enrôlement pré-rempli avec l'UID (carte inconnue).</w:t>
      </w:r>
    </w:p>
    <w:p>
      <w:pPr>
        <w:pStyle w:val="Heading1"/>
      </w:pPr>
      <w:r>
        <w:rPr>
          <w:b w:val="0"/>
          <w:i w:val="0"/>
        </w:rPr>
        <w:t>IV. Fonctionnalités Clés</w:t>
      </w:r>
    </w:p>
    <w:p>
      <w:pPr>
        <w:pStyle w:val="Heading2"/>
      </w:pPr>
      <w:r>
        <w:rPr>
          <w:b w:val="0"/>
          <w:i w:val="0"/>
        </w:rPr>
        <w:t>A. Carte NFC Réelle</w:t>
      </w:r>
    </w:p>
    <w:p>
      <w:pPr/>
      <w:r>
        <w:rPr>
          <w:b w:val="0"/>
          <w:i w:val="0"/>
        </w:rPr>
        <w:t>Le modèle de données retient l'UID comme attribut du patient (patients.card_uid) et non comme clé primaire : l'identifiant entier interne reste stable et l'UID reste optionnel et unique. La normalisation d'UID (card_utils.normalize_uid) tolère les différentes formes textuelles produites par le lecteur (majuscules/minuscules, séparateurs deux-points, tiret, espaces), si bien qu'une carte enrôlée une fois est toujours reconnue par la suite. L'endpoint POST /cards/scan est public (appelé par le matériel) et l'endpoint POST /patients, protégé (require_doctor), réalise l'enrôlement d'un patient avec son UID (le médecin est l'émetteur de carte). La chaîne complète a été validée avec une carte physique réelle (UID de test 237F4506).</w:t>
      </w:r>
    </w:p>
    <w:p>
      <w:pPr>
        <w:pStyle w:val="Heading2"/>
      </w:pPr>
      <w:r>
        <w:rPr>
          <w:b w:val="0"/>
          <w:i w:val="0"/>
        </w:rPr>
        <w:t>B. Alerte Allergie par Cross-réactivité</w:t>
      </w:r>
    </w:p>
    <w:p>
      <w:pPr/>
      <w:r>
        <w:rPr>
          <w:b w:val="0"/>
          <w:i w:val="0"/>
        </w:rPr>
        <w:t>Le module allergy_rules.py implémente un moteur de détection de conflits médicament-allergie. Il regroupe les substances en classes d'allergènes (par exemple Pénicilline : amoxicilline, ampicilline, Augmentin ; Aspirine/AINS ; Sulfamides ; Céphalosporines ; Codéine ; Iode). La cross-réactivité émerge naturellement de ce modèle : allergie et médicament n'ont qu'à correspondre à la même classe. La comparaison s'effectue sur texte normalisé (minuscules, accents retirés, ponctuation neutralisée) et par correspondance de mots entiers, ce qui gère les termes multi-mots.</w:t>
      </w:r>
    </w:p>
    <w:p>
      <w:pPr/>
      <w:r>
        <w:rPr>
          <w:b w:val="0"/>
          <w:i w:val="0"/>
        </w:rPr>
        <w:t>Ce moteur est intégré au flux de prescription. Un endpoint de vérification en temps réel (POST /patients/{id}/prescriptions/check) alimente le formulaire web, qui affiche un bandeau d'alerte dès qu'un conflit est détecté. La création d'ordonnance (POST /patients/{id}/prescriptions) est durcie : en cas de conflit non confirmé, le serveur renvoie une erreur HTTP 409 ; le médecin peut passer outre explicitement (override_allergy), auquel cas la décision est tracée dans une colonne d'audit (allergy_override, migration Alembic dédiée). Scénario de démonstration : un patient allergique à la pénicilline se voit prescrire de l'amoxicilline, et l'alerte se déclenche.</w:t>
      </w:r>
    </w:p>
    <w:p>
      <w:pPr>
        <w:pStyle w:val="Heading2"/>
      </w:pPr>
      <w:r>
        <w:rPr>
          <w:b w:val="0"/>
          <w:i w:val="0"/>
        </w:rPr>
        <w:t>C. Module « Analytics IA » (en cours d'intégration)</w:t>
      </w:r>
    </w:p>
    <w:p>
      <w:pPr/>
      <w:r>
        <w:rPr>
          <w:b w:val="0"/>
          <w:i w:val="0"/>
        </w:rPr>
        <w:t>Un module d'analyse par apprentissage automatique est conçu et planifié pour exposer deux modèles scikit-learn pré-entraînés, choisis pour leur autonomie et leur lisibilité visuelle.</w:t>
      </w:r>
    </w:p>
    <w:p>
      <w:pPr/>
      <w:r>
        <w:rPr>
          <w:b w:val="0"/>
          <w:i w:val="0"/>
        </w:rPr>
        <w:t>Prévision d'affluence hospitalière : un réseau de neurones MLPRegressor associé à un StandardScaler prédit le nombre de patients pour les 30 prochains jours. Les caractéristiques (features) sont temporelles : jour de la semaine, mois, jour, indicateur de week-end, saison, moyenne mobile à 7 jours et retards (lags) à 1, 3 et 7 jours.</w:t>
      </w:r>
    </w:p>
    <w:p>
      <w:pPr/>
      <w:r>
        <w:rPr>
          <w:b w:val="0"/>
          <w:i w:val="0"/>
        </w:rPr>
        <w:t>Détection de fraude / nomadisme médical : un IsolationForest associé à un StandardScaler repère les patients au comportement atypique à partir de quatre caractéristiques agrégées : nombre de visites, nombres distincts de médecins, d'hôpitaux et de médicaments. Les patients marqués comme anomalies sont classés par score croissant (le plus anormal en tête).</w:t>
      </w:r>
    </w:p>
    <w:p>
      <w:pPr/>
      <w:r>
        <w:rPr>
          <w:b w:val="0"/>
          <w:i w:val="0"/>
        </w:rPr>
        <w:t>Côté backend, un module app/ai/ charge les modèles .pkl et de petits fichiers de features pré-calculés une seule fois au démarrage (cache mémoire) et expose deux endpoints protégés par JWT : GET /ai/affluence et GET /ai/fraud. Côté web, une page « Analytics IA » affiche la courbe historique + prévision et le tableau des patients suspects à l'aide de la bibliothèque de graphiques Recharts.</w:t>
      </w:r>
    </w:p>
    <w:p>
      <w:pPr>
        <w:pStyle w:val="Heading1"/>
      </w:pPr>
      <w:r>
        <w:rPr>
          <w:b w:val="0"/>
          <w:i w:val="0"/>
        </w:rPr>
        <w:t>V. Implémentation et Choix Techniques</w:t>
      </w:r>
    </w:p>
    <w:p>
      <w:pPr/>
      <w:r>
        <w:rPr>
          <w:b w:val="0"/>
          <w:i w:val="0"/>
        </w:rPr>
        <w:t>La pile technique privilégie des technologies éprouvées et productives : FastAPI pour la génération automatique de la documentation OpenAPI et la validation par Pydantic ; SQLAlchemy 2.0 et Alembic pour la persistance et les migrations versionnées (création des tables initiales, ajout de la colonne d'audit d'allergie, ajout de card_uid) ; React 19, TypeScript et Vite côté web ; Flutter côté mobile.</w:t>
      </w:r>
    </w:p>
    <w:p>
      <w:pPr/>
      <w:r>
        <w:rPr>
          <w:b w:val="0"/>
          <w:i w:val="0"/>
        </w:rPr>
        <w:t>La sécurité repose sur JWT : à la connexion (POST /auth/login), le backend délivre un jeton signé porteur du rôle, exigé ensuite par les endpoints protégés (dépendances get_current_user, require_doctor). Le hachage des mots de passe utilise bcrypt.</w:t>
      </w:r>
    </w:p>
    <w:p>
      <w:pPr/>
      <w:r>
        <w:rPr>
          <w:b w:val="0"/>
          <w:i w:val="0"/>
        </w:rPr>
        <w:t>Le pont matériel/écran est volontairement simple : un tampon mémoire mono-processus (scan_state) muni d'un compteur monotone seq relie le lecteur (qui écrit) et l'écran (qui interroge). Ce choix, adapté à une démonstration mono-poste, serait remplacé par un stockage partagé (Redis ou table dédiée) en déploiement multi-postes.</w:t>
      </w:r>
    </w:p>
    <w:p>
      <w:pPr/>
      <w:r>
        <w:rPr>
          <w:b w:val="0"/>
          <w:i w:val="0"/>
        </w:rPr>
        <w:t>L'intégration des modèles privilégie une inférence réelle mais frugale : les modèles .pkl effectuent une vraie prédiction, mais sur de petits fichiers de features pré-calculés plutôt que sur le jeu de données brut agrégé à chaque requête. La version de scikit-learn est épinglée (1.9.0) pour garantir la dé-sérialisation des modèles. Les artefacts lourds (jeu de données brut de plusieurs mégaoctets, modèle de réadmission de 105 Mo) ne sont pas versionnés.</w:t>
      </w:r>
    </w:p>
    <w:p>
      <w:pPr/>
      <w:r>
        <w:rPr>
          <w:b w:val="0"/>
          <w:i w:val="0"/>
        </w:rPr>
        <w:t>La qualité est soutenue par une suite de tests pytest côté backend (plus de quarante tests couvrant l'authentification, les patients, les prescriptions, les cartes et le moteur d'allergie).</w:t>
      </w:r>
    </w:p>
    <w:p>
      <w:pPr>
        <w:pStyle w:val="Heading1"/>
      </w:pPr>
      <w:r>
        <w:rPr>
          <w:b w:val="0"/>
          <w:i w:val="0"/>
        </w:rPr>
        <w:t>VI. Résultats et Démonstration</w:t>
      </w:r>
    </w:p>
    <w:p>
      <w:pPr/>
      <w:r>
        <w:rPr>
          <w:b w:val="0"/>
          <w:i w:val="0"/>
        </w:rPr>
        <w:t>Les éléments suivants sont fonctionnels et démontrables :</w:t>
      </w:r>
    </w:p>
    <w:p>
      <w:pPr/>
      <w:r>
        <w:rPr>
          <w:b w:val="0"/>
          <w:i w:val="0"/>
        </w:rPr>
        <w:t>Chaîne NFC matérielle complète : une carte physique réelle, lue par l'ESP32 + RC522, déclenche via le pont série l'ouverture du dossier patient (ou du formulaire d'enrôlement) sur le portail web, sans intervention manuelle. API REST documentée (Swagger/OpenAPI) exposant l'authentification, les dossiers patients, les consultations, les prescriptions et les endpoints de carte. Alerte d'allergie en temps réel dans le formulaire de prescription, avec blocage 409 et audit de la dérogation. Module Analytics IA conçu et planifié : endpoints /ai/affluence et /ai/fraud et page web avec graphiques Recharts.</w:t>
      </w:r>
    </w:p>
    <w:p>
      <w:pPr/>
      <w:r>
        <w:rPr>
          <w:b w:val="0"/>
          <w:i w:val="0"/>
        </w:rPr>
        <w:t>Pour la démonstration sans matériel, un simulateur (sim_card.py) rejoue les scénarios de carte connue et de carte inconnue.</w:t>
      </w:r>
    </w:p>
    <w:p>
      <w:pPr>
        <w:pStyle w:val="Heading1"/>
      </w:pPr>
      <w:r>
        <w:rPr>
          <w:b w:val="0"/>
          <w:i w:val="0"/>
        </w:rPr>
        <w:t>VII. Limites et Travaux Futurs</w:t>
      </w:r>
    </w:p>
    <w:p>
      <w:pPr/>
      <w:r>
        <w:rPr>
          <w:b w:val="0"/>
          <w:i w:val="0"/>
        </w:rPr>
        <w:t>Données de l'IA synthétiques. Les modèles d'affluence et de fraude ont été entraînés sur un jeu de données Kaggle synthétique (colonnes anglaises : nom, âge, montant de facturation, numéro de chambre) qui ne correspond pas au schéma réel de Dara Manqué. Le module tourne donc sur un jeu de démonstration, et non sur de vraies données patient ; l'interface l'indique explicitement par un label « données de démonstration ». Aucune métrique de performance clinique n'est revendiquée ; toute valeur affichée est indicative.</w:t>
      </w:r>
    </w:p>
    <w:p>
      <w:pPr/>
      <w:r>
        <w:rPr>
          <w:b w:val="0"/>
          <w:i w:val="0"/>
        </w:rPr>
        <w:t>Posture de sécurité de démonstration. Certains endpoints (scan de carte, lecture de dossier) sont volontairement non authentifiés pour la démonstration ; un durcissement (clé device partagée, authentification des lectures de dossier, limitation de débit anti-énumération, cookies httpOnly) est nécessaire avant tout usage réel.</w:t>
      </w:r>
    </w:p>
    <w:p>
      <w:pPr/>
      <w:r>
        <w:rPr>
          <w:b w:val="0"/>
          <w:i w:val="0"/>
        </w:rPr>
        <w:t>Axes 3 et 4 non réalisés. Le mode d'urgence hors-ligne et l'ordonnance signée à usage unique restent à l'état de conception. La relation médecin-patient n'est pas contrainte et l'authentification patient est absente du périmètre actuel.</w:t>
      </w:r>
    </w:p>
    <w:p>
      <w:pPr/>
      <w:r>
        <w:rPr>
          <w:b w:val="0"/>
          <w:i w:val="0"/>
        </w:rPr>
        <w:t>Les travaux futurs porteront sur le ré-entraînement des modèles sur un schéma représentatif, la mise en œuvre des axes 3 et 4, l'extension du moteur d'interactions aux couples médicament-médicament, et le durcissement de sécurité.</w:t>
      </w:r>
    </w:p>
    <w:p>
      <w:pPr>
        <w:pStyle w:val="Heading1"/>
      </w:pPr>
      <w:r>
        <w:rPr>
          <w:b w:val="0"/>
          <w:i w:val="0"/>
        </w:rPr>
        <w:t>VIII. Conclusion</w:t>
      </w:r>
    </w:p>
    <w:p>
      <w:pPr/>
      <w:r>
        <w:rPr>
          <w:b w:val="0"/>
          <w:i w:val="0"/>
        </w:rPr>
        <w:t>Dara Manqué démontre qu'une carte médicale intelligente réellement matérielle, couplée à un dossier centralisé et à des garde-fous cliniques automatiques, est atteignable avec une pile open source moderne. La chaîne NFC de bout en bout et l'alerte d'allergie assistée constituent des différenciateurs concrets et démontrables, tandis que le module Analytics IA illustre la valeur ajoutée de l'apprentissage automatique pour la planification hospitalière et la détection du nomadisme médical. En restant transparent sur la nature de démonstration des données d'IA et sur la posture de sécurité provisoire, le projet trace une trajectoire claire vers une solution déployable.</w:t>
      </w:r>
    </w:p>
    <w:p>
      <w:pPr>
        <w:pStyle w:val="Heading1"/>
      </w:pPr>
      <w:r>
        <w:rPr>
          <w:b w:val="0"/>
          <w:i w:val="0"/>
        </w:rPr>
        <w:t>References</w:t>
      </w:r>
    </w:p>
    <w:p>
      <w:pPr/>
      <w:r>
        <w:rPr>
          <w:b w:val="0"/>
          <w:i w:val="0"/>
        </w:rPr>
        <w:t>[1] S. Ramírez, « FastAPI », documentation officielle. [En ligne]. Disponible : https://fastapi.tiangolo.com</w:t>
      </w:r>
    </w:p>
    <w:p>
      <w:pPr/>
      <w:r>
        <w:rPr>
          <w:b w:val="0"/>
          <w:i w:val="0"/>
        </w:rPr>
        <w:t>[2] F. Pedregosa et al., « Scikit-learn: Machine Learning in Python », Journal of Machine Learning Research, vol. 12, p. 2825–2830, 2011.</w:t>
      </w:r>
    </w:p>
    <w:p>
      <w:pPr/>
      <w:r>
        <w:rPr>
          <w:b w:val="0"/>
          <w:i w:val="0"/>
        </w:rPr>
        <w:t>[3] F. T. Liu, K. M. Ting et Z.-H. Zhou, « Isolation Forest », in Proc. 8th IEEE International Conference on Data Mining (ICDM), 2008, p. 413–422.</w:t>
      </w:r>
    </w:p>
    <w:p>
      <w:pPr/>
      <w:r>
        <w:rPr>
          <w:b w:val="0"/>
          <w:i w:val="0"/>
        </w:rPr>
        <w:t>[4] Meta Open Source, « React — A JavaScript library for building user interfaces ». [En ligne]. Disponible : https://react.dev</w:t>
      </w:r>
    </w:p>
    <w:p>
      <w:pPr/>
      <w:r>
        <w:rPr>
          <w:b w:val="0"/>
          <w:i w:val="0"/>
        </w:rPr>
        <w:t>[5] The SQLAlchemy authors, « SQLAlchemy — The Python SQL Toolkit and Object Relational Mapper ». [En ligne]. Disponible : https://www.sqlalchemy.org</w:t>
      </w:r>
    </w:p>
    <w:p>
      <w:pPr/>
      <w:r>
        <w:rPr>
          <w:b w:val="0"/>
          <w:i w:val="0"/>
        </w:rPr>
        <w:t>[6] ISO/IEC 14443, Cards and security devices for personal identification — Contactless proximity objects, International Organization for Standardization, Genève, Suisse.</w:t>
      </w:r>
    </w:p>
    <w:p>
      <w:pPr/>
      <w:r>
        <w:rPr>
          <w:b w:val="0"/>
          <w:i w:val="0"/>
        </w:rPr>
        <w:t>[7] The PostgreSQL Global Development Group, « PostgreSQL: The World's Most Advanced Open Source Relational Database ». [En ligne]. Disponible : https://www.postgresql.org</w:t>
      </w:r>
    </w:p>
    <w:p>
      <w:pPr/>
      <w:r>
        <w:rPr>
          <w:b w:val="0"/>
          <w:i w:val="0"/>
        </w:rPr>
        <w:t>[8] NXP Semiconductors, « MFRC522 — Standard performance MIFARE and NTAG frontend », fiche technique, 2016.</w:t>
      </w:r>
    </w:p>
    <w:p>
      <w:pPr/>
      <w:r>
        <w:rPr>
          <w:b w:val="0"/>
          <w:i w:val="0"/>
        </w:rPr>
        <w:t>[9] Espressif Systems, « ESP32 Series Datasheet ». [En ligne]. Disponible : https://www.espressif.com</w:t>
      </w:r>
    </w:p>
    <w:p>
      <w:pPr/>
      <w:r>
        <w:rPr>
          <w:b w:val="0"/>
          <w:i w:val="0"/>
        </w:rPr>
        <w:t>[10] D. E. Rumelhart, G. E. Hinton et R. J. Williams, « Learning representations by back-propagating errors », Nature, vol. 323, p. 533–536, 1986.</w:t>
      </w:r>
    </w:p>
    <w:p>
      <w:pPr/>
      <w:r>
        <w:rPr>
          <w:b w:val="0"/>
          <w:i w:val="0"/>
        </w:rPr>
        <w:t>[11] Google, « Flutter — Build apps for any screen ». [En ligne]. Disponible : https://flutter.dev</w:t>
      </w:r>
    </w:p>
    <w:sectPr>
      <w:headerReference r:id="rId28" w:type="default"/>
      <w:type w:val="continuous"/>
      <w:pgSz w:h="15840" w:w="12240" w:orient="portrait"/>
      <w:pgMar w:bottom="1008" w:top="1008" w:left="936" w:right="936" w:header="432" w:footer="432"/>
      <w:pgNumType w:start="1"/>
      <w:cols w:equalWidth="0" w:num="2">
        <w:col w:space="288" w:w="5040.000000000001"/>
        <w:col w:space="0" w:w="5040.000000000001"/>
      </w:cols>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 w:name="Times New Roman"/>
  <w:font w:name="Times"/>
  <w:font w:name="Cambria Math"/>
</w:fonts>
</file>

<file path=word/footnotes.xml><?xml version="1.0" encoding="utf-8"?>
<w:footnot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otnote w:id="0">
    <w:p w:rsidR="00000000" w:rsidDel="00000000" w:rsidP="00000000" w:rsidRDefault="00000000" w:rsidRPr="00000000" w14:paraId="000000F5">
      <w:pPr>
        <w:pBdr>
          <w:top w:space="0" w:sz="0" w:val="nil"/>
          <w:left w:space="0" w:sz="0" w:val="nil"/>
          <w:bottom w:space="0" w:sz="0" w:val="nil"/>
          <w:right w:space="0" w:sz="0" w:val="nil"/>
          <w:between w:space="0" w:sz="0" w:val="nil"/>
        </w:pBdr>
        <w:ind w:firstLine="202"/>
        <w:jc w:val="both"/>
        <w:rPr>
          <w:rFonts w:ascii="Arial" w:cs="Arial" w:eastAsia="Arial" w:hAnsi="Arial"/>
          <w:color w:val="000000"/>
          <w:sz w:val="16"/>
          <w:szCs w:val="16"/>
        </w:rPr>
      </w:pPr>
      <w:r w:rsidDel="00000000" w:rsidR="00000000" w:rsidRPr="00000000">
        <w:rPr>
          <w:rStyle w:val="FootnoteReference"/>
          <w:vertAlign w:val="superscript"/>
        </w:rPr>
        <w:footnoteRef/>
      </w:r>
      <w:r w:rsidDel="00000000" w:rsidR="00000000" w:rsidRPr="00000000">
        <w:rPr>
          <w:rFonts w:ascii="Arial" w:cs="Arial" w:eastAsia="Arial" w:hAnsi="Arial"/>
          <w:color w:val="000000"/>
          <w:sz w:val="16"/>
          <w:szCs w:val="16"/>
          <w:rtl w:val="0"/>
        </w:rPr>
        <w:t xml:space="preserve">It is recommended that footnotes be avoided (except for the unnumbered footnote with the receipt date on the first page). Instead, try to integrate the footnote information into the text.</w:t>
      </w:r>
    </w:p>
  </w:footnote>
</w:footnotes>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F6">
    <w:pPr>
      <w:jc w:val="center"/>
      <w:rPr>
        <w:rFonts w:ascii="Arial" w:cs="Arial" w:eastAsia="Arial" w:hAnsi="Arial"/>
      </w:rPr>
    </w:pPr>
    <w:r w:rsidDel="00000000" w:rsidR="00000000" w:rsidRPr="00000000">
      <w:rPr>
        <w:rFonts w:ascii="Arial" w:cs="Arial" w:eastAsia="Arial" w:hAnsi="Arial"/>
        <w:rtl w:val="0"/>
      </w:rPr>
      <w:t xml:space="preserve">                                                                       </w:t>
    </w:r>
    <w:r w:rsidDel="00000000" w:rsidR="00000000" w:rsidRPr="00000000">
      <w:rPr>
        <w:rFonts w:ascii="Arial" w:cs="Arial" w:eastAsia="Arial" w:hAnsi="Arial"/>
        <w:sz w:val="16"/>
        <w:szCs w:val="16"/>
        <w:rtl w:val="0"/>
      </w:rPr>
      <w:t xml:space="preserve">IEEE TRANSACTIONS AND JOURNALS TEMPLATE</w:t>
    </w:r>
    <w:r w:rsidDel="00000000" w:rsidR="00000000" w:rsidRPr="00000000">
      <w:rPr>
        <w:rFonts w:ascii="Arial" w:cs="Arial" w:eastAsia="Arial" w:hAnsi="Arial"/>
        <w:rtl w:val="0"/>
      </w:rPr>
      <w:t xml:space="preserve">    1</w:t>
    </w:r>
    <w:r w:rsidDel="00000000" w:rsidR="00000000" w:rsidRPr="00000000">
      <mc:AlternateContent>
        <mc:Choice Requires="wps">
          <w:drawing>
            <wp:anchor allowOverlap="1" behindDoc="0" distB="0" distT="0" distL="114300" distR="114300" hidden="0" layoutInCell="1" locked="0" relativeHeight="0" simplePos="0">
              <wp:simplePos x="0" y="0"/>
              <wp:positionH relativeFrom="column">
                <wp:posOffset>85092</wp:posOffset>
              </wp:positionH>
              <wp:positionV relativeFrom="paragraph">
                <wp:posOffset>182880</wp:posOffset>
              </wp:positionV>
              <wp:extent cx="6485890" cy="0"/>
              <wp:effectExtent b="1039" l="0" r="0" t="1039"/>
              <wp:wrapNone/>
              <wp:docPr id="1" name=""/>
              <a:graphic>
                <a:graphicData uri="http://schemas.microsoft.com/office/word/2010/wordprocessingShape">
                  <wps:wsp>
                    <wps:cNvCnPr/>
                    <wps:spPr>
                      <a:xfrm>
                        <a:off x="0" y="0"/>
                        <a:ext cx="6485890" cy="0"/>
                      </a:xfrm>
                      <a:prstGeom prst="line">
                        <a:avLst/>
                      </a:prstGeom>
                      <a:ln/>
                    </wps:spPr>
                    <wps:style>
                      <a:lnRef idx="2">
                        <a:schemeClr val="accent5"/>
                      </a:lnRef>
                      <a:fillRef idx="0">
                        <a:schemeClr val="accent5"/>
                      </a:fillRef>
                      <a:effectRef idx="1">
                        <a:schemeClr val="accent5"/>
                      </a:effectRef>
                      <a:fontRef idx="minor">
                        <a:schemeClr val="tx1"/>
                      </a:fontRef>
                    </wps:style>
                    <wps:bodyPr/>
                  </wps:wsp>
                </a:graphicData>
              </a:graphic>
            </wp:anchor>
          </w:drawing>
        </mc:Choice>
        <mc:Fallback>
          <w:drawing>
            <wp:anchor allowOverlap="1" behindDoc="0" distB="0" distT="0" distL="114300" distR="114300" hidden="0" layoutInCell="1" locked="0" relativeHeight="0" simplePos="0">
              <wp:simplePos x="0" y="0"/>
              <wp:positionH relativeFrom="column">
                <wp:posOffset>85092</wp:posOffset>
              </wp:positionH>
              <wp:positionV relativeFrom="paragraph">
                <wp:posOffset>182880</wp:posOffset>
              </wp:positionV>
              <wp:extent cx="6485890" cy="2078"/>
              <wp:effectExtent b="0" l="0" r="0" t="0"/>
              <wp:wrapNone/>
              <wp:docPr id="1" name="image3.png"/>
              <a:graphic>
                <a:graphicData uri="http://schemas.openxmlformats.org/drawingml/2006/picture">
                  <pic:pic>
                    <pic:nvPicPr>
                      <pic:cNvPr id="0" name="image3.png"/>
                      <pic:cNvPicPr preferRelativeResize="0"/>
                    </pic:nvPicPr>
                    <pic:blipFill>
                      <a:blip r:embed="rId4"/>
                      <a:srcRect b="0" l="0" r="0" t="0"/>
                      <a:stretch>
                        <a:fillRect/>
                      </a:stretch>
                    </pic:blipFill>
                    <pic:spPr>
                      <a:xfrm>
                        <a:off x="0" y="0"/>
                        <a:ext cx="6485890" cy="2078"/>
                      </a:xfrm>
                      <a:prstGeom prst="rect"/>
                      <a:ln/>
                    </pic:spPr>
                  </pic:pic>
                </a:graphicData>
              </a:graphic>
            </wp:anchor>
          </w:drawing>
        </mc:Fallback>
      </mc:AlternateContent>
    </w:r>
    <w:r w:rsidDel="00000000" w:rsidR="00000000" w:rsidRPr="00000000">
      <w:drawing>
        <wp:anchor allowOverlap="1" behindDoc="0" distB="0" distT="0" distL="114300" distR="114300" hidden="0" layoutInCell="1" locked="0" relativeHeight="0" simplePos="0">
          <wp:simplePos x="0" y="0"/>
          <wp:positionH relativeFrom="column">
            <wp:posOffset>-67309</wp:posOffset>
          </wp:positionH>
          <wp:positionV relativeFrom="paragraph">
            <wp:posOffset>-135889</wp:posOffset>
          </wp:positionV>
          <wp:extent cx="660400" cy="273685"/>
          <wp:effectExtent b="0" l="0" r="0" t="0"/>
          <wp:wrapSquare wrapText="bothSides" distB="0" distT="0" distL="114300" distR="114300"/>
          <wp:docPr id="4" name="image2.png"/>
          <a:graphic>
            <a:graphicData uri="http://schemas.openxmlformats.org/drawingml/2006/picture">
              <pic:pic>
                <pic:nvPicPr>
                  <pic:cNvPr id="0" name="image2.png"/>
                  <pic:cNvPicPr preferRelativeResize="0"/>
                </pic:nvPicPr>
                <pic:blipFill>
                  <a:blip r:embed="rId5"/>
                  <a:srcRect b="0" l="0" r="0" t="0"/>
                  <a:stretch>
                    <a:fillRect/>
                  </a:stretch>
                </pic:blipFill>
                <pic:spPr>
                  <a:xfrm>
                    <a:off x="0" y="0"/>
                    <a:ext cx="660400" cy="273685"/>
                  </a:xfrm>
                  <a:prstGeom prst="rect"/>
                  <a:ln/>
                </pic:spPr>
              </pic:pic>
            </a:graphicData>
          </a:graphic>
        </wp:anchor>
      </w:drawing>
    </w:r>
  </w:p>
  <w:p w:rsidR="00000000" w:rsidDel="00000000" w:rsidP="00000000" w:rsidRDefault="00000000" w:rsidRPr="00000000" w14:paraId="000000F7">
    <w:pPr>
      <w:ind w:right="360"/>
      <w:rPr/>
    </w:pPr>
    <w:r w:rsidDel="00000000" w:rsidR="00000000" w:rsidRPr="00000000">
      <w:rPr>
        <w:rtl w:val="0"/>
      </w:rPr>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F8">
    <w:pPr>
      <w:jc w:val="right"/>
      <w:rPr>
        <w:rFonts w:ascii="Arial" w:cs="Arial" w:eastAsia="Arial" w:hAnsi="Arial"/>
      </w:rPr>
    </w:pPr>
    <w:r w:rsidDel="00000000" w:rsidR="00000000" w:rsidRPr="00000000">
      <w:rPr>
        <w:rFonts w:ascii="Arial" w:cs="Arial" w:eastAsia="Arial" w:hAnsi="Arial"/>
      </w:rPr>
      <w:fldChar w:fldCharType="begin"/>
      <w:instrText xml:space="preserve">PAGE</w:instrText>
      <w:fldChar w:fldCharType="separate"/>
      <w:fldChar w:fldCharType="end"/>
    </w:r>
    <w:r w:rsidDel="00000000" w:rsidR="00000000" w:rsidRPr="00000000">
      <w:rPr>
        <w:rtl w:val="0"/>
      </w:rPr>
    </w:r>
  </w:p>
  <w:p w:rsidR="00000000" w:rsidDel="00000000" w:rsidP="00000000" w:rsidRDefault="00000000" w:rsidRPr="00000000" w14:paraId="000000F9">
    <w:pPr>
      <w:ind w:right="360"/>
      <w:rPr>
        <w:rFonts w:ascii="Arial" w:cs="Arial" w:eastAsia="Arial" w:hAnsi="Arial"/>
      </w:rPr>
    </w:pPr>
    <w:r w:rsidDel="00000000" w:rsidR="00000000" w:rsidRPr="00000000">
      <w:rPr>
        <w:rtl w:val="0"/>
      </w:rPr>
    </w:r>
    <w:r w:rsidDel="00000000" w:rsidR="00000000" w:rsidRPr="00000000">
      <mc:AlternateContent>
        <mc:Choice Requires="wps">
          <w:drawing>
            <wp:anchor allowOverlap="1" behindDoc="0" distB="0" distT="0" distL="114300" distR="114300" hidden="0" layoutInCell="1" locked="0" relativeHeight="0" simplePos="0">
              <wp:simplePos x="0" y="0"/>
              <wp:positionH relativeFrom="column">
                <wp:posOffset>-6984</wp:posOffset>
              </wp:positionH>
              <wp:positionV relativeFrom="paragraph">
                <wp:posOffset>177165</wp:posOffset>
              </wp:positionV>
              <wp:extent cx="6579870" cy="0"/>
              <wp:effectExtent b="1039" l="0" r="0" t="1039"/>
              <wp:wrapNone/>
              <wp:docPr id="3" name=""/>
              <a:graphic>
                <a:graphicData uri="http://schemas.microsoft.com/office/word/2010/wordprocessingShape">
                  <wps:wsp>
                    <wps:cNvCnPr/>
                    <wps:spPr>
                      <a:xfrm>
                        <a:off x="0" y="0"/>
                        <a:ext cx="6579870" cy="0"/>
                      </a:xfrm>
                      <a:prstGeom prst="line">
                        <a:avLst/>
                      </a:prstGeom>
                      <a:ln/>
                    </wps:spPr>
                    <wps:style>
                      <a:lnRef idx="2">
                        <a:schemeClr val="accent5"/>
                      </a:lnRef>
                      <a:fillRef idx="0">
                        <a:schemeClr val="accent5"/>
                      </a:fillRef>
                      <a:effectRef idx="1">
                        <a:schemeClr val="accent5"/>
                      </a:effectRef>
                      <a:fontRef idx="minor">
                        <a:schemeClr val="tx1"/>
                      </a:fontRef>
                    </wps:style>
                    <wps:bodyPr/>
                  </wps:wsp>
                </a:graphicData>
              </a:graphic>
            </wp:anchor>
          </w:drawing>
        </mc:Choice>
        <mc:Fallback>
          <w:drawing>
            <wp:anchor allowOverlap="1" behindDoc="0" distB="0" distT="0" distL="114300" distR="114300" hidden="0" layoutInCell="1" locked="0" relativeHeight="0" simplePos="0">
              <wp:simplePos x="0" y="0"/>
              <wp:positionH relativeFrom="column">
                <wp:posOffset>-6984</wp:posOffset>
              </wp:positionH>
              <wp:positionV relativeFrom="paragraph">
                <wp:posOffset>177165</wp:posOffset>
              </wp:positionV>
              <wp:extent cx="6579870" cy="2078"/>
              <wp:effectExtent b="0" l="0" r="0" t="0"/>
              <wp:wrapNone/>
              <wp:docPr id="3" name="image7.png"/>
              <a:graphic>
                <a:graphicData uri="http://schemas.openxmlformats.org/drawingml/2006/picture">
                  <pic:pic>
                    <pic:nvPicPr>
                      <pic:cNvPr id="0" name="image7.png"/>
                      <pic:cNvPicPr preferRelativeResize="0"/>
                    </pic:nvPicPr>
                    <pic:blipFill>
                      <a:blip r:embed="rId4"/>
                      <a:srcRect b="0" l="0" r="0" t="0"/>
                      <a:stretch>
                        <a:fillRect/>
                      </a:stretch>
                    </pic:blipFill>
                    <pic:spPr>
                      <a:xfrm>
                        <a:off x="0" y="0"/>
                        <a:ext cx="6579870" cy="2078"/>
                      </a:xfrm>
                      <a:prstGeom prst="rect"/>
                      <a:ln/>
                    </pic:spPr>
                  </pic:pic>
                </a:graphicData>
              </a:graphic>
            </wp:anchor>
          </w:drawing>
        </mc:Fallback>
      </mc:AlternateContent>
    </w:r>
  </w:p>
  <w:p w:rsidR="00000000" w:rsidDel="00000000" w:rsidP="00000000" w:rsidRDefault="00000000" w:rsidRPr="00000000" w14:paraId="000000FA">
    <w:pPr>
      <w:ind w:right="360"/>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upperRoman"/>
      <w:lvlText w:val="%1."/>
      <w:lvlJc w:val="left"/>
      <w:pPr>
        <w:ind w:left="0" w:firstLine="0"/>
      </w:pPr>
      <w:rPr/>
    </w:lvl>
    <w:lvl w:ilvl="1">
      <w:start w:val="1"/>
      <w:numFmt w:val="decimal"/>
      <w:lvlText w:val="%2)"/>
      <w:lvlJc w:val="left"/>
      <w:pPr>
        <w:ind w:left="450" w:hanging="360"/>
      </w:pPr>
      <w:rPr>
        <w:b w:val="0"/>
        <w:bCs w:val="0"/>
        <w:i w:val="0"/>
        <w:iCs w:val="0"/>
        <w:u w:val="none"/>
      </w:rPr>
    </w:lvl>
    <w:lvl w:ilvl="2">
      <w:start w:val="1"/>
      <w:numFmt w:val="decimal"/>
      <w:lvlText w:val="%3)"/>
      <w:lvlJc w:val="left"/>
      <w:pPr>
        <w:ind w:left="0" w:firstLine="0"/>
      </w:pPr>
      <w:rPr>
        <w:i w:val="1"/>
        <w:iCs w:val="1"/>
      </w:rPr>
    </w:lvl>
    <w:lvl w:ilvl="3">
      <w:start w:val="1"/>
      <w:numFmt w:val="lowerLetter"/>
      <w:lvlText w:val="%4)"/>
      <w:lvlJc w:val="left"/>
      <w:pPr>
        <w:ind w:left="1152" w:hanging="720"/>
      </w:pPr>
      <w:rPr/>
    </w:lvl>
    <w:lvl w:ilvl="4">
      <w:start w:val="1"/>
      <w:numFmt w:val="decimal"/>
      <w:lvlText w:val="(%5)"/>
      <w:lvlJc w:val="left"/>
      <w:pPr>
        <w:ind w:left="1872" w:hanging="720"/>
      </w:pPr>
      <w:rPr/>
    </w:lvl>
    <w:lvl w:ilvl="5">
      <w:start w:val="1"/>
      <w:numFmt w:val="lowerLetter"/>
      <w:lvlText w:val="(%6)"/>
      <w:lvlJc w:val="left"/>
      <w:pPr>
        <w:ind w:left="2592" w:hanging="720"/>
      </w:pPr>
      <w:rPr/>
    </w:lvl>
    <w:lvl w:ilvl="6">
      <w:start w:val="1"/>
      <w:numFmt w:val="lowerRoman"/>
      <w:lvlText w:val="(%7)"/>
      <w:lvlJc w:val="left"/>
      <w:pPr>
        <w:ind w:left="3312" w:hanging="720"/>
      </w:pPr>
      <w:rPr/>
    </w:lvl>
    <w:lvl w:ilvl="7">
      <w:start w:val="1"/>
      <w:numFmt w:val="lowerLetter"/>
      <w:lvlText w:val="(%8)"/>
      <w:lvlJc w:val="left"/>
      <w:pPr>
        <w:ind w:left="4032" w:hanging="720"/>
      </w:pPr>
      <w:rPr/>
    </w:lvl>
    <w:lvl w:ilvl="8">
      <w:start w:val="1"/>
      <w:numFmt w:val="lowerRoman"/>
      <w:lvlText w:val="(%9)"/>
      <w:lvlJc w:val="left"/>
      <w:pPr>
        <w:ind w:left="4752" w:hanging="720"/>
      </w:pPr>
      <w:rPr/>
    </w:lvl>
  </w:abstractNum>
  <w:abstractNum w:abstractNumId="2">
    <w:lvl w:ilvl="0">
      <w:start w:val="1"/>
      <w:numFmt w:val="decimal"/>
      <w:lvlText w:val="%1)"/>
      <w:lvlJc w:val="left"/>
      <w:pPr>
        <w:ind w:left="360" w:hanging="360"/>
      </w:pPr>
      <w:rPr/>
    </w:lvl>
    <w:lvl w:ilvl="1">
      <w:start w:val="1"/>
      <w:numFmt w:val="lowerLetter"/>
      <w:lvlText w:val="%2)"/>
      <w:lvlJc w:val="left"/>
      <w:pPr>
        <w:ind w:left="720" w:hanging="360"/>
      </w:pPr>
      <w:rPr/>
    </w:lvl>
    <w:lvl w:ilvl="2">
      <w:start w:val="1"/>
      <w:numFmt w:val="lowerRoman"/>
      <w:lvlText w:val="%3)"/>
      <w:lvlJc w:val="left"/>
      <w:pPr>
        <w:ind w:left="1080" w:hanging="360"/>
      </w:pPr>
      <w:rPr/>
    </w:lvl>
    <w:lvl w:ilvl="3">
      <w:start w:val="1"/>
      <w:numFmt w:val="decimal"/>
      <w:lvlText w:val="(%4)"/>
      <w:lvlJc w:val="left"/>
      <w:pPr>
        <w:ind w:left="1440" w:hanging="360"/>
      </w:pPr>
      <w:rPr/>
    </w:lvl>
    <w:lvl w:ilvl="4">
      <w:start w:val="1"/>
      <w:numFmt w:val="lowerLetter"/>
      <w:lvlText w:val="(%5)"/>
      <w:lvlJc w:val="left"/>
      <w:pPr>
        <w:ind w:left="1800" w:hanging="360"/>
      </w:pPr>
      <w:rPr/>
    </w:lvl>
    <w:lvl w:ilvl="5">
      <w:start w:val="1"/>
      <w:numFmt w:val="lowerRoman"/>
      <w:lvlText w:val="(%6)"/>
      <w:lvlJc w:val="left"/>
      <w:pPr>
        <w:ind w:left="2160" w:hanging="360"/>
      </w:pPr>
      <w:rPr/>
    </w:lvl>
    <w:lvl w:ilvl="6">
      <w:start w:val="1"/>
      <w:numFmt w:val="decimal"/>
      <w:lvlText w:val="%7."/>
      <w:lvlJc w:val="left"/>
      <w:pPr>
        <w:ind w:left="2520" w:hanging="360"/>
      </w:pPr>
      <w:rPr/>
    </w:lvl>
    <w:lvl w:ilvl="7">
      <w:start w:val="1"/>
      <w:numFmt w:val="lowerLetter"/>
      <w:lvlText w:val="%8."/>
      <w:lvlJc w:val="left"/>
      <w:pPr>
        <w:ind w:left="2880" w:hanging="360"/>
      </w:pPr>
      <w:rPr/>
    </w:lvl>
    <w:lvl w:ilvl="8">
      <w:start w:val="1"/>
      <w:numFmt w:val="lowerRoman"/>
      <w:lvlText w:val="%9."/>
      <w:lvlJc w:val="left"/>
      <w:pPr>
        <w:ind w:left="3240" w:hanging="360"/>
      </w:pPr>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decimal"/>
      <w:lvlText w:val="[%1]"/>
      <w:lvlJc w:val="left"/>
      <w:pPr>
        <w:ind w:left="990" w:hanging="360"/>
      </w:pPr>
      <w:rPr>
        <w:i w:val="0"/>
        <w:iCs w:val="0"/>
        <w:sz w:val="16"/>
        <w:szCs w:val="16"/>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num w:numId="1">
    <w:abstractNumId w:val="1"/>
  </w:num>
  <w:num w:numId="2">
    <w:abstractNumId w:val="2"/>
  </w:num>
  <w:num w:numId="3">
    <w:abstractNumId w:val="3"/>
  </w:num>
  <w:num w:numId="4">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lang w:val="en"/>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spacing w:after="80" w:before="240" w:lineRule="auto"/>
      <w:jc w:val="center"/>
    </w:pPr>
    <w:rPr>
      <w:rFonts w:ascii="Arial" w:cs="Arial" w:eastAsia="Arial" w:hAnsi="Arial"/>
      <w:smallCaps w:val="1"/>
      <w:color w:val="004496"/>
    </w:rPr>
  </w:style>
  <w:style w:type="paragraph" w:styleId="Heading2">
    <w:name w:val="heading 2"/>
    <w:basedOn w:val="Normal"/>
    <w:next w:val="Normal"/>
    <w:pPr>
      <w:keepNext w:val="1"/>
      <w:spacing w:after="60" w:before="120" w:lineRule="auto"/>
      <w:ind w:left="0" w:firstLine="0"/>
    </w:pPr>
    <w:rPr>
      <w:rFonts w:ascii="Arial" w:cs="Arial" w:eastAsia="Arial" w:hAnsi="Arial"/>
      <w:i w:val="1"/>
      <w:iCs w:val="1"/>
      <w:color w:val="a31e23"/>
    </w:rPr>
  </w:style>
  <w:style w:type="paragraph" w:styleId="Heading3">
    <w:name w:val="heading 3"/>
    <w:basedOn w:val="Normal"/>
    <w:next w:val="Normal"/>
    <w:pPr>
      <w:keepNext w:val="1"/>
      <w:ind w:left="0" w:firstLine="0"/>
    </w:pPr>
    <w:rPr>
      <w:i w:val="1"/>
      <w:iCs w:val="1"/>
    </w:rPr>
  </w:style>
  <w:style w:type="paragraph" w:styleId="Heading4">
    <w:name w:val="heading 4"/>
    <w:basedOn w:val="Normal"/>
    <w:next w:val="Normal"/>
    <w:pPr>
      <w:keepNext w:val="1"/>
      <w:spacing w:after="60" w:before="240" w:lineRule="auto"/>
      <w:ind w:left="0" w:firstLine="0"/>
    </w:pPr>
    <w:rPr>
      <w:i w:val="1"/>
      <w:iCs w:val="1"/>
      <w:sz w:val="18"/>
      <w:szCs w:val="18"/>
    </w:rPr>
  </w:style>
  <w:style w:type="paragraph" w:styleId="Heading5">
    <w:name w:val="heading 5"/>
    <w:basedOn w:val="Normal"/>
    <w:next w:val="Normal"/>
    <w:pPr>
      <w:spacing w:after="60" w:before="240" w:lineRule="auto"/>
      <w:ind w:left="0" w:firstLine="0"/>
    </w:pPr>
    <w:rPr>
      <w:sz w:val="18"/>
      <w:szCs w:val="18"/>
    </w:rPr>
  </w:style>
  <w:style w:type="paragraph" w:styleId="Heading6">
    <w:name w:val="heading 6"/>
    <w:basedOn w:val="Normal"/>
    <w:next w:val="Normal"/>
    <w:pPr>
      <w:spacing w:after="60" w:before="240" w:lineRule="auto"/>
      <w:ind w:left="0" w:firstLine="0"/>
    </w:pPr>
    <w:rPr>
      <w:i w:val="1"/>
      <w:iCs w:val="1"/>
      <w:sz w:val="16"/>
      <w:szCs w:val="16"/>
    </w:rPr>
  </w:style>
  <w:style w:type="paragraph" w:styleId="Title">
    <w:name w:val="Title"/>
    <w:basedOn w:val="Normal"/>
    <w:next w:val="Normal"/>
    <w:pPr>
      <w:jc w:val="center"/>
    </w:pPr>
    <w:rPr>
      <w:rFonts w:ascii="Arial" w:cs="Arial" w:eastAsia="Arial" w:hAnsi="Arial"/>
      <w:color w:val="004495"/>
      <w:sz w:val="48"/>
      <w:szCs w:val="48"/>
    </w:rPr>
  </w:style>
  <w:style w:type="paragraph" w:styleId="Subtitle">
    <w:name w:val="Subtitle"/>
    <w:basedOn w:val="Normal"/>
    <w:next w:val="Normal"/>
    <w:pPr>
      <w:keepNext w:val="1"/>
      <w:keepLines w:val="1"/>
      <w:spacing w:after="80" w:before="360" w:lineRule="auto"/>
    </w:pPr>
    <w:rPr>
      <w:rFonts w:ascii="Georgia" w:cs="Georgia" w:eastAsia="Georgia" w:hAnsi="Georgia"/>
      <w:i w:val="1"/>
      <w:iCs w:val="1"/>
      <w:color w:val="666666"/>
      <w:sz w:val="48"/>
      <w:szCs w:val="48"/>
    </w:rPr>
  </w:style>
</w:styles>
</file>

<file path=word/_rels/document.xml.rels><?xml version='1.0' encoding='UTF-8' standalone='yes'?>
<Relationships xmlns="http://schemas.openxmlformats.org/package/2006/relationships"><Relationship Id="rId20" Type="http://schemas.openxmlformats.org/officeDocument/2006/relationships/hyperlink" Target="http://journals.ieeeauthorcenter.ieee.org/wp-content/uploads/sites/7/IEEE-Math-Typesetting-Guide-for-MS-Word-Users.pdf" TargetMode="External"/><Relationship Id="rId22" Type="http://schemas.openxmlformats.org/officeDocument/2006/relationships/hyperlink" Target="http://www.ieee.org/publications_standards/publications/authors/authors_submission.html" TargetMode="External"/><Relationship Id="rId21" Type="http://schemas.openxmlformats.org/officeDocument/2006/relationships/image" Target="media/image6.png"/><Relationship Id="rId24" Type="http://schemas.openxmlformats.org/officeDocument/2006/relationships/hyperlink" Target="https://www.ieee.org/publications/rights/index.html" TargetMode="External"/><Relationship Id="rId23" Type="http://schemas.openxmlformats.org/officeDocument/2006/relationships/hyperlink" Target="https://journals.ieeeauthorcenter.ieee.org/create-your-ieee-journal-article/create-the-text-of-your-article/ieee-editorial-style-manual/" TargetMode="External"/><Relationship Id="rId1" Type="http://schemas.openxmlformats.org/officeDocument/2006/relationships/image" Target="media/image1.tiff"/><Relationship Id="rId2" Type="http://schemas.openxmlformats.org/officeDocument/2006/relationships/image" Target="media/image5.wmf"/><Relationship Id="rId3" Type="http://schemas.openxmlformats.org/officeDocument/2006/relationships/oleObject" Target="embeddings/oleObject1.bin"/><Relationship Id="rId4" Type="http://schemas.openxmlformats.org/officeDocument/2006/relationships/theme" Target="theme/theme1.xml"/><Relationship Id="rId9" Type="http://schemas.openxmlformats.org/officeDocument/2006/relationships/styles" Target="styles.xml"/><Relationship Id="rId26" Type="http://schemas.openxmlformats.org/officeDocument/2006/relationships/hyperlink" Target="https://journals.ieeeauthorcenter.ieee.org/become-an-ieee-journal-author/publishing-ethics/guidelines-and-policies/" TargetMode="External"/><Relationship Id="rId25" Type="http://schemas.openxmlformats.org/officeDocument/2006/relationships/hyperlink" Target="https://www.ieee.org/publications/rights/index.html" TargetMode="External"/><Relationship Id="rId28" Type="http://schemas.openxmlformats.org/officeDocument/2006/relationships/header" Target="header2.xml"/><Relationship Id="rId27" Type="http://schemas.openxmlformats.org/officeDocument/2006/relationships/image" Target="media/image8.png"/><Relationship Id="rId5" Type="http://schemas.openxmlformats.org/officeDocument/2006/relationships/settings" Target="settings.xml"/><Relationship Id="rId6" Type="http://schemas.openxmlformats.org/officeDocument/2006/relationships/fontTable" Target="fontTable.xml"/><Relationship Id="rId7" Type="http://schemas.openxmlformats.org/officeDocument/2006/relationships/footnotes" Target="footnotes.xml"/><Relationship Id="rId8" Type="http://schemas.openxmlformats.org/officeDocument/2006/relationships/numbering" Target="numbering.xml"/><Relationship Id="rId11" Type="http://schemas.openxmlformats.org/officeDocument/2006/relationships/hyperlink" Target="https://www.ieee.org/publications/services/thesaurus.html" TargetMode="External"/><Relationship Id="rId10" Type="http://schemas.openxmlformats.org/officeDocument/2006/relationships/header" Target="header1.xml"/><Relationship Id="rId13" Type="http://schemas.openxmlformats.org/officeDocument/2006/relationships/hyperlink" Target="https://www.overleaf.com/blog/278-how-to-use-overleaf-with-ieee-collabratec-your-quick-guide-to-getting-started#." TargetMode="External"/><Relationship Id="rId12" Type="http://schemas.openxmlformats.org/officeDocument/2006/relationships/hyperlink" Target="https://journals.ieeeauthorcenter.ieee.org/create-your-ieee-journal-article/authoring-tools-and-templates/tools-for-ieee-authors/ieee-article-templates/" TargetMode="External"/><Relationship Id="rId15" Type="http://schemas.openxmlformats.org/officeDocument/2006/relationships/hyperlink" Target="https://journals.ieeeauthorcenter.ieee.org/create-your-ieee-journal-article/create-the-text-of-your-article/ieee-editorial-style-manual/" TargetMode="External"/><Relationship Id="rId14" Type="http://schemas.openxmlformats.org/officeDocument/2006/relationships/hyperlink" Target="https://www.overleaf.com/blog/278-how-to-use-overleaf-with-ieee-collabratec-your-quick-guide-to-getting-started%23.Vp6tpPkrKM9" TargetMode="External"/><Relationship Id="rId17" Type="http://schemas.openxmlformats.org/officeDocument/2006/relationships/image" Target="media/image4.png"/><Relationship Id="rId16" Type="http://schemas.openxmlformats.org/officeDocument/2006/relationships/hyperlink" Target="https://journals.ieeeauthorcenter.ieee.org/create-your-ieee-journal-article/create-the-text-of-your-article/structure-your-article/#editing-service" TargetMode="External"/><Relationship Id="rId19" Type="http://schemas.openxmlformats.org/officeDocument/2006/relationships/hyperlink" Target="http://journals.ieeeauthorcenter.ieee.org/wp-content/uploads/sites/7/Editing-Mathematics.pdf" TargetMode="External"/><Relationship Id="rId18" Type="http://schemas.openxmlformats.org/officeDocument/2006/relationships/hyperlink" Target="https://store.wiris.com/en/products/mathtype/download" TargetMode="External"/></Relationships>
</file>

<file path=word/_rels/header1.xml.rels><?xml version='1.0' encoding='UTF-8' standalone='yes'?>
<Relationships xmlns="http://schemas.openxmlformats.org/package/2006/relationships"><Relationship Id="rId4" Type="http://schemas.openxmlformats.org/officeDocument/2006/relationships/image" Target="media/image3.png"/><Relationship Id="rId5" Type="http://schemas.openxmlformats.org/officeDocument/2006/relationships/image" Target="media/image2.png"/></Relationships>
</file>

<file path=word/_rels/header2.xml.rels><?xml version='1.0' encoding='UTF-8' standalone='yes'?>
<Relationships xmlns="http://schemas.openxmlformats.org/package/2006/relationships"><Relationship Id="rId4" Type="http://schemas.openxmlformats.org/officeDocument/2006/relationships/image" Target="media/image7.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