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2F5233"/>
          <w:spacing w:val="20"/>
          <w:sz w:val="24"/>
          <w:szCs w:val="24"/>
        </w:rPr>
        <w:t xml:space="preserve">PROCESSINGENIERIE</w:t>
      </w:r>
    </w:p>
    <w:p>
      <w:pPr>
        <w:spacing w:after="200"/>
        <w:jc w:val="center"/>
      </w:pPr>
      <w:r>
        <w:rPr>
          <w:b/>
          <w:bCs/>
          <w:color w:val="1A1A1A"/>
          <w:sz w:val="56"/>
          <w:szCs w:val="56"/>
        </w:rPr>
        <w:t xml:space="preserve">L'Ardoise Digitale</w:t>
      </w:r>
    </w:p>
    <w:p>
      <w:pPr>
        <w:spacing w:after="800"/>
        <w:jc w:val="center"/>
      </w:pPr>
      <w:r>
        <w:rPr>
          <w:i/>
          <w:iCs/>
          <w:color w:val="595959"/>
          <w:sz w:val="26"/>
          <w:szCs w:val="26"/>
        </w:rPr>
        <w:t xml:space="preserve">Gestion de stock et de crédit client pour les boutiquiers de quartier</w:t>
      </w:r>
    </w:p>
    <w:p>
      <w:pPr>
        <w:jc w:val="center"/>
      </w:pPr>
      <w:r>
        <w:rPr>
          <w:color w:val="595959"/>
          <w:sz w:val="22"/>
          <w:szCs w:val="22"/>
        </w:rPr>
        <w:t xml:space="preserve">Cahier des charges — document de travail</w:t>
      </w:r>
    </w:p>
    <w:p>
      <w:pPr>
        <w:spacing w:after="3000"/>
        <w:jc w:val="center"/>
      </w:pPr>
      <w:r>
        <w:rPr>
          <w:color w:val="595959"/>
          <w:sz w:val="22"/>
          <w:szCs w:val="22"/>
        </w:rPr>
        <w:t xml:space="preserve">Dakar, Sénégal — 2026</w:t>
      </w:r>
    </w:p>
    <w:p>
      <w:r>
        <w:br w:type="page"/>
      </w:r>
    </w:p>
    <w:p>
      <w:pPr>
        <w:pStyle w:val="Heading1"/>
        <w:pBdr>
          <w:bottom w:val="single" w:color="2F5233" w:sz="8" w:space="4"/>
        </w:pBdr>
        <w:spacing w:after="200" w:before="400"/>
      </w:pPr>
      <w:r>
        <w:rPr>
          <w:b/>
          <w:bCs/>
          <w:color w:val="2F5233"/>
          <w:sz w:val="32"/>
          <w:szCs w:val="32"/>
        </w:rPr>
        <w:t xml:space="preserve">1. Contexte et problématique</w:t>
      </w:r>
    </w:p>
    <w:p>
      <w:pPr>
        <w:spacing w:after="160" w:line="300"/>
      </w:pPr>
      <w:r>
        <w:rPr>
          <w:sz w:val="22"/>
          <w:szCs w:val="22"/>
        </w:rPr>
        <w:t xml:space="preserve">Les boutiquiers de quartier au Sénégal accordent quotidiennement du crédit informel à leurs clients réguliers — pratique connue localement comme "l'ardoise". Ce crédit est aujourd'hui suivi sur cahier, sans aucun outil de gestion, ce qui entraîne des pertes fréquentes liées aux oublis ou aux erreurs, et une absence totale de visibilité sur la trésorerie réelle du commerce.</w:t>
      </w:r>
    </w:p>
    <w:p>
      <w:pPr>
        <w:spacing w:after="160" w:line="300"/>
      </w:pPr>
      <w:r>
        <w:rPr>
          <w:sz w:val="22"/>
          <w:szCs w:val="22"/>
        </w:rPr>
        <w:t xml:space="preserve">L'Ardoise Digitale propose un outil de gestion minimaliste, pensé pour un usage rapide en boutique, combinant suivi de stock et suivi de crédit client.</w:t>
      </w:r>
    </w:p>
    <w:p>
      <w:pPr>
        <w:pStyle w:val="Heading1"/>
        <w:pBdr>
          <w:bottom w:val="single" w:color="2F5233" w:sz="8" w:space="4"/>
        </w:pBdr>
        <w:spacing w:after="200" w:before="400"/>
      </w:pPr>
      <w:r>
        <w:rPr>
          <w:b/>
          <w:bCs/>
          <w:color w:val="2F5233"/>
          <w:sz w:val="32"/>
          <w:szCs w:val="32"/>
        </w:rPr>
        <w:t xml:space="preserve">2. Public cible</w:t>
      </w:r>
    </w:p>
    <w:p>
      <w:pPr>
        <w:pStyle w:val="ListParagraph"/>
        <w:numPr>
          <w:ilvl w:val="0"/>
          <w:numId w:val="2"/>
        </w:numPr>
        <w:spacing w:after="80" w:line="280"/>
      </w:pPr>
      <w:r>
        <w:rPr>
          <w:sz w:val="22"/>
          <w:szCs w:val="22"/>
        </w:rPr>
        <w:t xml:space="preserve">Boutiques de quartier et commerces de proximité</w:t>
      </w:r>
    </w:p>
    <w:p>
      <w:pPr>
        <w:pStyle w:val="ListParagraph"/>
        <w:numPr>
          <w:ilvl w:val="0"/>
          <w:numId w:val="2"/>
        </w:numPr>
        <w:spacing w:after="80" w:line="280"/>
      </w:pPr>
      <w:r>
        <w:rPr>
          <w:sz w:val="22"/>
          <w:szCs w:val="22"/>
        </w:rPr>
        <w:t xml:space="preserve">Points de vente informels (vendeurs de rue avec un point fixe)</w:t>
      </w:r>
    </w:p>
    <w:p>
      <w:pPr>
        <w:pStyle w:val="ListParagraph"/>
        <w:numPr>
          <w:ilvl w:val="0"/>
          <w:numId w:val="2"/>
        </w:numPr>
        <w:spacing w:after="80" w:line="280"/>
      </w:pPr>
      <w:r>
        <w:rPr>
          <w:sz w:val="22"/>
          <w:szCs w:val="22"/>
        </w:rPr>
        <w:t xml:space="preserve">À terme : institutions de microfinance cherchant des données fiables sur ces commerçants</w:t>
      </w:r>
    </w:p>
    <w:p>
      <w:pPr>
        <w:pStyle w:val="Heading1"/>
        <w:pBdr>
          <w:bottom w:val="single" w:color="2F5233" w:sz="8" w:space="4"/>
        </w:pBdr>
        <w:spacing w:after="200" w:before="400"/>
      </w:pPr>
      <w:r>
        <w:rPr>
          <w:b/>
          <w:bCs/>
          <w:color w:val="2F5233"/>
          <w:sz w:val="32"/>
          <w:szCs w:val="32"/>
        </w:rPr>
        <w:t xml:space="preserve">3. Fonctionnalités du MVP</w:t>
      </w:r>
    </w:p>
    <w:p>
      <w:pPr>
        <w:pStyle w:val="Heading2"/>
        <w:spacing w:after="120" w:before="300"/>
      </w:pPr>
      <w:r>
        <w:rPr>
          <w:b/>
          <w:bCs/>
          <w:color w:val="1A1A1A"/>
          <w:sz w:val="26"/>
          <w:szCs w:val="26"/>
        </w:rPr>
        <w:t xml:space="preserve">3.1 Gestion de stock</w:t>
      </w:r>
    </w:p>
    <w:p>
      <w:pPr>
        <w:pStyle w:val="ListParagraph"/>
        <w:numPr>
          <w:ilvl w:val="0"/>
          <w:numId w:val="2"/>
        </w:numPr>
        <w:spacing w:after="80" w:line="280"/>
      </w:pPr>
      <w:r>
        <w:rPr>
          <w:sz w:val="22"/>
          <w:szCs w:val="22"/>
        </w:rPr>
        <w:t xml:space="preserve">Enregistrement des entrées et sorties de produits</w:t>
      </w:r>
    </w:p>
    <w:p>
      <w:pPr>
        <w:pStyle w:val="ListParagraph"/>
        <w:numPr>
          <w:ilvl w:val="0"/>
          <w:numId w:val="2"/>
        </w:numPr>
        <w:spacing w:after="80" w:line="280"/>
      </w:pPr>
      <w:r>
        <w:rPr>
          <w:sz w:val="22"/>
          <w:szCs w:val="22"/>
        </w:rPr>
        <w:t xml:space="preserve">Alerte de rupture de stock sur les produits configurés comme prioritaires</w:t>
      </w:r>
    </w:p>
    <w:p>
      <w:pPr>
        <w:pStyle w:val="ListParagraph"/>
        <w:numPr>
          <w:ilvl w:val="0"/>
          <w:numId w:val="2"/>
        </w:numPr>
        <w:spacing w:after="80" w:line="280"/>
      </w:pPr>
      <w:r>
        <w:rPr>
          <w:sz w:val="22"/>
          <w:szCs w:val="22"/>
        </w:rPr>
        <w:t xml:space="preserve">Catalogue produit simplifié, adapté à un usage tactile rapide</w:t>
      </w:r>
    </w:p>
    <w:p>
      <w:pPr>
        <w:pStyle w:val="Heading2"/>
        <w:spacing w:after="120" w:before="300"/>
      </w:pPr>
      <w:r>
        <w:rPr>
          <w:b/>
          <w:bCs/>
          <w:color w:val="1A1A1A"/>
          <w:sz w:val="26"/>
          <w:szCs w:val="26"/>
        </w:rPr>
        <w:t xml:space="preserve">3.2 Registre de crédit client</w:t>
      </w:r>
    </w:p>
    <w:p>
      <w:pPr>
        <w:pStyle w:val="ListParagraph"/>
        <w:numPr>
          <w:ilvl w:val="0"/>
          <w:numId w:val="2"/>
        </w:numPr>
        <w:spacing w:after="80" w:line="280"/>
      </w:pPr>
      <w:r>
        <w:rPr>
          <w:sz w:val="22"/>
          <w:szCs w:val="22"/>
        </w:rPr>
        <w:t xml:space="preserve">Fiche client avec solde dû, historique des achats à crédit et des remboursements</w:t>
      </w:r>
    </w:p>
    <w:p>
      <w:pPr>
        <w:pStyle w:val="ListParagraph"/>
        <w:numPr>
          <w:ilvl w:val="0"/>
          <w:numId w:val="2"/>
        </w:numPr>
        <w:spacing w:after="80" w:line="280"/>
      </w:pPr>
      <w:r>
        <w:rPr>
          <w:sz w:val="22"/>
          <w:szCs w:val="22"/>
        </w:rPr>
        <w:t xml:space="preserve">Rappel de relance configurable (notification pour le boutiquier, pas nécessairement pour le client)</w:t>
      </w:r>
    </w:p>
    <w:p>
      <w:pPr>
        <w:pStyle w:val="ListParagraph"/>
        <w:numPr>
          <w:ilvl w:val="0"/>
          <w:numId w:val="2"/>
        </w:numPr>
        <w:spacing w:after="80" w:line="280"/>
      </w:pPr>
      <w:r>
        <w:rPr>
          <w:sz w:val="22"/>
          <w:szCs w:val="22"/>
        </w:rPr>
        <w:t xml:space="preserve">Historique consultable en cas de contestation</w:t>
      </w:r>
    </w:p>
    <w:p>
      <w:pPr>
        <w:pStyle w:val="Heading2"/>
        <w:spacing w:after="120" w:before="300"/>
      </w:pPr>
      <w:r>
        <w:rPr>
          <w:b/>
          <w:bCs/>
          <w:color w:val="1A1A1A"/>
          <w:sz w:val="26"/>
          <w:szCs w:val="26"/>
        </w:rPr>
        <w:t xml:space="preserve">3.3 Rapports</w:t>
      </w:r>
    </w:p>
    <w:p>
      <w:pPr>
        <w:pStyle w:val="ListParagraph"/>
        <w:numPr>
          <w:ilvl w:val="0"/>
          <w:numId w:val="2"/>
        </w:numPr>
        <w:spacing w:after="80" w:line="280"/>
      </w:pPr>
      <w:r>
        <w:rPr>
          <w:sz w:val="22"/>
          <w:szCs w:val="22"/>
        </w:rPr>
        <w:t xml:space="preserve">Rapport de vente journalier et hebdomadaire</w:t>
      </w:r>
    </w:p>
    <w:p>
      <w:pPr>
        <w:pStyle w:val="ListParagraph"/>
        <w:numPr>
          <w:ilvl w:val="0"/>
          <w:numId w:val="2"/>
        </w:numPr>
        <w:spacing w:after="80" w:line="280"/>
      </w:pPr>
      <w:r>
        <w:rPr>
          <w:sz w:val="22"/>
          <w:szCs w:val="22"/>
        </w:rPr>
        <w:t xml:space="preserve">Identification du produit le plus vendu et de la marge approximative</w:t>
      </w:r>
    </w:p>
    <w:p>
      <w:pPr>
        <w:pStyle w:val="ListParagraph"/>
        <w:numPr>
          <w:ilvl w:val="0"/>
          <w:numId w:val="2"/>
        </w:numPr>
        <w:spacing w:after="80" w:line="280"/>
      </w:pPr>
      <w:r>
        <w:rPr>
          <w:sz w:val="22"/>
          <w:szCs w:val="22"/>
        </w:rPr>
        <w:t xml:space="preserve">Vue de la trésorerie réelle (ventes cash + crédits en cours)</w:t>
      </w:r>
    </w:p>
    <w:p>
      <w:pPr>
        <w:pStyle w:val="Heading1"/>
        <w:pBdr>
          <w:bottom w:val="single" w:color="2F5233" w:sz="8" w:space="4"/>
        </w:pBdr>
        <w:spacing w:after="200" w:before="400"/>
      </w:pPr>
      <w:r>
        <w:rPr>
          <w:b/>
          <w:bCs/>
          <w:color w:val="2F5233"/>
          <w:sz w:val="32"/>
          <w:szCs w:val="32"/>
        </w:rPr>
        <w:t xml:space="preserve">4. Architecture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2F5233" w:val="clear"/>
          </w:tcPr>
          <w:p>
            <w:r>
              <w:rPr>
                <w:b/>
                <w:bCs/>
                <w:color w:val="FFFFFF"/>
                <w:sz w:val="20"/>
                <w:szCs w:val="20"/>
              </w:rPr>
              <w:t xml:space="preserve">Composant</w:t>
            </w:r>
          </w:p>
        </w:tc>
        <w:tc>
          <w:tcPr>
            <w:tcW w:type="dxa" w:w="3600"/>
            <w:shd w:fill="2F5233" w:val="clear"/>
          </w:tcPr>
          <w:p>
            <w:r>
              <w:rPr>
                <w:b/>
                <w:bCs/>
                <w:color w:val="FFFFFF"/>
                <w:sz w:val="20"/>
                <w:szCs w:val="20"/>
              </w:rPr>
              <w:t xml:space="preserve">Choix technique</w:t>
            </w:r>
          </w:p>
        </w:tc>
        <w:tc>
          <w:tcPr>
            <w:tcW w:type="dxa" w:w="2800"/>
            <w:shd w:fill="2F5233" w:val="clear"/>
          </w:tcPr>
          <w:p>
            <w:r>
              <w:rPr>
                <w:b/>
                <w:bCs/>
                <w:color w:val="FFFFFF"/>
                <w:sz w:val="20"/>
                <w:szCs w:val="20"/>
              </w:rPr>
              <w:t xml:space="preserve">Justification</w:t>
            </w:r>
          </w:p>
        </w:tc>
      </w:tr>
      <w:tr>
        <w:tc>
          <w:tcPr>
            <w:tcW w:type="dxa" w:w="2600"/>
            <w:shd w:fill="FFFFFF" w:val="clear"/>
          </w:tcPr>
          <w:p>
            <w:r>
              <w:rPr>
                <w:sz w:val="20"/>
                <w:szCs w:val="20"/>
              </w:rPr>
              <w:t xml:space="preserve">App mobile</w:t>
            </w:r>
          </w:p>
        </w:tc>
        <w:tc>
          <w:tcPr>
            <w:tcW w:type="dxa" w:w="3600"/>
            <w:shd w:fill="FFFFFF" w:val="clear"/>
          </w:tcPr>
          <w:p>
            <w:r>
              <w:rPr>
                <w:sz w:val="20"/>
                <w:szCs w:val="20"/>
              </w:rPr>
              <w:t xml:space="preserve">Capacitor, interface volontairement minimaliste</w:t>
            </w:r>
          </w:p>
        </w:tc>
        <w:tc>
          <w:tcPr>
            <w:tcW w:type="dxa" w:w="2800"/>
            <w:shd w:fill="FFFFFF" w:val="clear"/>
          </w:tcPr>
          <w:p>
            <w:r>
              <w:rPr>
                <w:sz w:val="20"/>
                <w:szCs w:val="20"/>
              </w:rPr>
              <w:t xml:space="preserve">Le boutiquier type n'a pas le temps ni l'habitude d'une saisie complexe</w:t>
            </w:r>
          </w:p>
        </w:tc>
      </w:tr>
      <w:tr>
        <w:tc>
          <w:tcPr>
            <w:tcW w:type="dxa" w:w="2600"/>
            <w:shd w:fill="EAF1E7" w:val="clear"/>
          </w:tcPr>
          <w:p>
            <w:r>
              <w:rPr>
                <w:sz w:val="20"/>
                <w:szCs w:val="20"/>
              </w:rPr>
              <w:t xml:space="preserve">Stockage local</w:t>
            </w:r>
          </w:p>
        </w:tc>
        <w:tc>
          <w:tcPr>
            <w:tcW w:type="dxa" w:w="3600"/>
            <w:shd w:fill="EAF1E7" w:val="clear"/>
          </w:tcPr>
          <w:p>
            <w:r>
              <w:rPr>
                <w:sz w:val="20"/>
                <w:szCs w:val="20"/>
              </w:rPr>
              <w:t xml:space="preserve">SQLite / IndexedDB en mode offline-first natif</w:t>
            </w:r>
          </w:p>
        </w:tc>
        <w:tc>
          <w:tcPr>
            <w:tcW w:type="dxa" w:w="2800"/>
            <w:shd w:fill="EAF1E7" w:val="clear"/>
          </w:tcPr>
          <w:p>
            <w:r>
              <w:rPr>
                <w:sz w:val="20"/>
                <w:szCs w:val="20"/>
              </w:rPr>
              <w:t xml:space="preserve">Connectivité instable en boutique — conçu dès le départ, pas en ajout ultérieur</w:t>
            </w:r>
          </w:p>
        </w:tc>
      </w:tr>
      <w:tr>
        <w:tc>
          <w:tcPr>
            <w:tcW w:type="dxa" w:w="2600"/>
            <w:shd w:fill="FFFFFF" w:val="clear"/>
          </w:tcPr>
          <w:p>
            <w:r>
              <w:rPr>
                <w:sz w:val="20"/>
                <w:szCs w:val="20"/>
              </w:rPr>
              <w:t xml:space="preserve">Synchronisation</w:t>
            </w:r>
          </w:p>
        </w:tc>
        <w:tc>
          <w:tcPr>
            <w:tcW w:type="dxa" w:w="3600"/>
            <w:shd w:fill="FFFFFF" w:val="clear"/>
          </w:tcPr>
          <w:p>
            <w:r>
              <w:rPr>
                <w:sz w:val="20"/>
                <w:szCs w:val="20"/>
              </w:rPr>
              <w:t xml:space="preserve">Sync Supabase dès reconnexion réseau</w:t>
            </w:r>
          </w:p>
        </w:tc>
        <w:tc>
          <w:tcPr>
            <w:tcW w:type="dxa" w:w="2800"/>
            <w:shd w:fill="FFFFFF" w:val="clear"/>
          </w:tcPr>
          <w:p>
            <w:r>
              <w:rPr>
                <w:sz w:val="20"/>
                <w:szCs w:val="20"/>
              </w:rPr>
              <w:t xml:space="preserve">Cohérence des données entre plusieurs appareils si besoin</w:t>
            </w:r>
          </w:p>
        </w:tc>
      </w:tr>
      <w:tr>
        <w:tc>
          <w:tcPr>
            <w:tcW w:type="dxa" w:w="2600"/>
            <w:shd w:fill="EAF1E7" w:val="clear"/>
          </w:tcPr>
          <w:p>
            <w:r>
              <w:rPr>
                <w:sz w:val="20"/>
                <w:szCs w:val="20"/>
              </w:rPr>
              <w:t xml:space="preserve">Scoring (phase avancée)</w:t>
            </w:r>
          </w:p>
        </w:tc>
        <w:tc>
          <w:tcPr>
            <w:tcW w:type="dxa" w:w="3600"/>
            <w:shd w:fill="EAF1E7" w:val="clear"/>
          </w:tcPr>
          <w:p>
            <w:r>
              <w:rPr>
                <w:sz w:val="20"/>
                <w:szCs w:val="20"/>
              </w:rPr>
              <w:t xml:space="preserve">Modèle simple basé sur régularité de vente et de remboursement</w:t>
            </w:r>
          </w:p>
        </w:tc>
        <w:tc>
          <w:tcPr>
            <w:tcW w:type="dxa" w:w="2800"/>
            <w:shd w:fill="EAF1E7" w:val="clear"/>
          </w:tcPr>
          <w:p>
            <w:r>
              <w:rPr>
                <w:sz w:val="20"/>
                <w:szCs w:val="20"/>
              </w:rPr>
              <w:t xml:space="preserve">Base du futur produit data B2B vers les IMF</w:t>
            </w:r>
          </w:p>
        </w:tc>
      </w:tr>
    </w:tbl>
    <w:p>
      <w:pPr>
        <w:pStyle w:val="Heading1"/>
        <w:pBdr>
          <w:bottom w:val="single" w:color="2F5233" w:sz="8" w:space="4"/>
        </w:pBdr>
        <w:spacing w:after="200" w:before="400"/>
      </w:pPr>
      <w:r>
        <w:rPr>
          <w:b/>
          <w:bCs/>
          <w:color w:val="2F5233"/>
          <w:sz w:val="32"/>
          <w:szCs w:val="32"/>
        </w:rPr>
        <w:t xml:space="preserve">5. Modèle de revenu</w:t>
      </w:r>
    </w:p>
    <w:p>
      <w:pPr>
        <w:pStyle w:val="ListParagraph"/>
        <w:numPr>
          <w:ilvl w:val="0"/>
          <w:numId w:val="2"/>
        </w:numPr>
        <w:spacing w:after="80" w:line="280"/>
      </w:pPr>
      <w:r>
        <w:rPr>
          <w:sz w:val="22"/>
          <w:szCs w:val="22"/>
        </w:rPr>
        <w:t xml:space="preserve">Freemium : suivi de stock basique gratuit, module crédit client et rapports avancés en abonnement (1 000 à 3 000 FCFA/mois)</w:t>
      </w:r>
    </w:p>
    <w:p>
      <w:pPr>
        <w:pStyle w:val="ListParagraph"/>
        <w:numPr>
          <w:ilvl w:val="0"/>
          <w:numId w:val="2"/>
        </w:numPr>
        <w:spacing w:after="80" w:line="280"/>
      </w:pPr>
      <w:r>
        <w:rPr>
          <w:sz w:val="22"/>
          <w:szCs w:val="22"/>
        </w:rPr>
        <w:t xml:space="preserve">Levier principal à moyen terme : une fois l'historique de vente et de remboursement constitué sur un grand nombre de boutiques, ce score de fiabilité devient un produit data vendable à des IMF ou banques cherchant à faire du micro-crédit commerçant sans données fiables</w:t>
      </w:r>
    </w:p>
    <w:p>
      <w:pPr>
        <w:pStyle w:val="Heading1"/>
        <w:pBdr>
          <w:bottom w:val="single" w:color="2F5233" w:sz="8" w:space="4"/>
        </w:pBdr>
        <w:spacing w:after="200" w:before="400"/>
      </w:pPr>
      <w:r>
        <w:rPr>
          <w:b/>
          <w:bCs/>
          <w:color w:val="2F5233"/>
          <w:sz w:val="32"/>
          <w:szCs w:val="32"/>
        </w:rPr>
        <w:t xml:space="preserve">6. Risques et points de vigilance</w:t>
      </w:r>
    </w:p>
    <w:p>
      <w:pPr>
        <w:pStyle w:val="ListParagraph"/>
        <w:numPr>
          <w:ilvl w:val="0"/>
          <w:numId w:val="2"/>
        </w:numPr>
        <w:spacing w:after="80" w:line="280"/>
      </w:pPr>
      <w:r>
        <w:rPr>
          <w:sz w:val="22"/>
          <w:szCs w:val="22"/>
        </w:rPr>
        <w:t xml:space="preserve">Acquisition à grande échelle coûteuse : nécessite une vente terrain boutique par boutique, difficilement automatisable au démarrage</w:t>
      </w:r>
    </w:p>
    <w:p>
      <w:pPr>
        <w:pStyle w:val="ListParagraph"/>
        <w:numPr>
          <w:ilvl w:val="0"/>
          <w:numId w:val="2"/>
        </w:numPr>
        <w:spacing w:after="80" w:line="280"/>
      </w:pPr>
      <w:r>
        <w:rPr>
          <w:sz w:val="22"/>
          <w:szCs w:val="22"/>
        </w:rPr>
        <w:t xml:space="preserve">Un partenariat avec un distributeur déjà présent dans ces boutiques (brasserie, distributeur télécom) accélérerait fortement l'adoption et devrait être recherché en priorité</w:t>
      </w:r>
    </w:p>
    <w:p>
      <w:pPr>
        <w:pStyle w:val="ListParagraph"/>
        <w:numPr>
          <w:ilvl w:val="0"/>
          <w:numId w:val="2"/>
        </w:numPr>
        <w:spacing w:after="80" w:line="280"/>
      </w:pPr>
      <w:r>
        <w:rPr>
          <w:sz w:val="22"/>
          <w:szCs w:val="22"/>
        </w:rPr>
        <w:t xml:space="preserve">Sensibilité des données de crédit client — cadre de confidentialité à clarifier avant toute revente de données agrégées</w:t>
      </w:r>
    </w:p>
    <w:p>
      <w:pPr>
        <w:pStyle w:val="Heading1"/>
        <w:pBdr>
          <w:bottom w:val="single" w:color="2F5233" w:sz="8" w:space="4"/>
        </w:pBdr>
        <w:spacing w:after="200" w:before="400"/>
      </w:pPr>
      <w:r>
        <w:rPr>
          <w:b/>
          <w:bCs/>
          <w:color w:val="2F5233"/>
          <w:sz w:val="32"/>
          <w:szCs w:val="32"/>
        </w:rPr>
        <w:t xml:space="preserve">7. Feuille de route suggérée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00"/>
      </w:tblGrid>
      <w:tr>
        <w:trPr>
          <w:tblHeader/>
        </w:trPr>
        <w:tc>
          <w:tcPr>
            <w:tcW w:type="dxa" w:w="1800"/>
            <w:shd w:fill="2F5233" w:val="clear"/>
          </w:tcPr>
          <w:p>
            <w:r>
              <w:rPr>
                <w:b/>
                <w:bCs/>
                <w:color w:val="FFFFFF"/>
                <w:sz w:val="20"/>
                <w:szCs w:val="20"/>
              </w:rPr>
              <w:t xml:space="preserve">Phase</w:t>
            </w:r>
          </w:p>
        </w:tc>
        <w:tc>
          <w:tcPr>
            <w:tcW w:type="dxa" w:w="5200"/>
            <w:shd w:fill="2F5233" w:val="clear"/>
          </w:tcPr>
          <w:p>
            <w:r>
              <w:rPr>
                <w:b/>
                <w:bCs/>
                <w:color w:val="FFFFFF"/>
                <w:sz w:val="20"/>
                <w:szCs w:val="20"/>
              </w:rPr>
              <w:t xml:space="preserve">Contenu</w:t>
            </w:r>
          </w:p>
        </w:tc>
        <w:tc>
          <w:tcPr>
            <w:tcW w:type="dxa" w:w="2000"/>
            <w:shd w:fill="2F5233" w:val="clear"/>
          </w:tcPr>
          <w:p>
            <w:r>
              <w:rPr>
                <w:b/>
                <w:bCs/>
                <w:color w:val="FFFFFF"/>
                <w:sz w:val="20"/>
                <w:szCs w:val="20"/>
              </w:rPr>
              <w:t xml:space="preserve">Durée indicative</w:t>
            </w:r>
          </w:p>
        </w:tc>
      </w:tr>
      <w:tr>
        <w:tc>
          <w:tcPr>
            <w:tcW w:type="dxa" w:w="1800"/>
            <w:shd w:fill="FFFFFF" w:val="clear"/>
          </w:tcPr>
          <w:p>
            <w:r>
              <w:rPr>
                <w:sz w:val="20"/>
                <w:szCs w:val="20"/>
              </w:rPr>
              <w:t xml:space="preserve">Phase 1</w:t>
            </w:r>
          </w:p>
        </w:tc>
        <w:tc>
          <w:tcPr>
            <w:tcW w:type="dxa" w:w="5200"/>
            <w:shd w:fill="FFFFFF" w:val="clear"/>
          </w:tcPr>
          <w:p>
            <w:r>
              <w:rPr>
                <w:sz w:val="20"/>
                <w:szCs w:val="20"/>
              </w:rPr>
              <w:t xml:space="preserve">MVP stock + crédit client, offline-first, mono-boutique</w:t>
            </w:r>
          </w:p>
        </w:tc>
        <w:tc>
          <w:tcPr>
            <w:tcW w:type="dxa" w:w="2000"/>
            <w:shd w:fill="FFFFFF" w:val="clear"/>
          </w:tcPr>
          <w:p>
            <w:r>
              <w:rPr>
                <w:sz w:val="20"/>
                <w:szCs w:val="20"/>
              </w:rPr>
              <w:t xml:space="preserve">6 à 8 semaines</w:t>
            </w:r>
          </w:p>
        </w:tc>
      </w:tr>
      <w:tr>
        <w:tc>
          <w:tcPr>
            <w:tcW w:type="dxa" w:w="1800"/>
            <w:shd w:fill="EAF1E7" w:val="clear"/>
          </w:tcPr>
          <w:p>
            <w:r>
              <w:rPr>
                <w:sz w:val="20"/>
                <w:szCs w:val="20"/>
              </w:rPr>
              <w:t xml:space="preserve">Phase 2</w:t>
            </w:r>
          </w:p>
        </w:tc>
        <w:tc>
          <w:tcPr>
            <w:tcW w:type="dxa" w:w="5200"/>
            <w:shd w:fill="EAF1E7" w:val="clear"/>
          </w:tcPr>
          <w:p>
            <w:r>
              <w:rPr>
                <w:sz w:val="20"/>
                <w:szCs w:val="20"/>
              </w:rPr>
              <w:t xml:space="preserve">Pilote avec 20 à 50 boutiques, ajustements terrain</w:t>
            </w:r>
          </w:p>
        </w:tc>
        <w:tc>
          <w:tcPr>
            <w:tcW w:type="dxa" w:w="2000"/>
            <w:shd w:fill="EAF1E7" w:val="clear"/>
          </w:tcPr>
          <w:p>
            <w:r>
              <w:rPr>
                <w:sz w:val="20"/>
                <w:szCs w:val="20"/>
              </w:rPr>
              <w:t xml:space="preserve">2 à 3 mois</w:t>
            </w:r>
          </w:p>
        </w:tc>
      </w:tr>
      <w:tr>
        <w:tc>
          <w:tcPr>
            <w:tcW w:type="dxa" w:w="1800"/>
            <w:shd w:fill="FFFFFF" w:val="clear"/>
          </w:tcPr>
          <w:p>
            <w:r>
              <w:rPr>
                <w:sz w:val="20"/>
                <w:szCs w:val="20"/>
              </w:rPr>
              <w:t xml:space="preserve">Phase 3</w:t>
            </w:r>
          </w:p>
        </w:tc>
        <w:tc>
          <w:tcPr>
            <w:tcW w:type="dxa" w:w="5200"/>
            <w:shd w:fill="FFFFFF" w:val="clear"/>
          </w:tcPr>
          <w:p>
            <w:r>
              <w:rPr>
                <w:sz w:val="20"/>
                <w:szCs w:val="20"/>
              </w:rPr>
              <w:t xml:space="preserve">Recherche de partenariat distribution pour l'acquisition</w:t>
            </w:r>
          </w:p>
        </w:tc>
        <w:tc>
          <w:tcPr>
            <w:tcW w:type="dxa" w:w="2000"/>
            <w:shd w:fill="FFFFFF" w:val="clear"/>
          </w:tcPr>
          <w:p>
            <w:r>
              <w:rPr>
                <w:sz w:val="20"/>
                <w:szCs w:val="20"/>
              </w:rPr>
              <w:t xml:space="preserve">en parallèle</w:t>
            </w:r>
          </w:p>
        </w:tc>
      </w:tr>
      <w:tr>
        <w:tc>
          <w:tcPr>
            <w:tcW w:type="dxa" w:w="1800"/>
            <w:shd w:fill="EAF1E7" w:val="clear"/>
          </w:tcPr>
          <w:p>
            <w:r>
              <w:rPr>
                <w:sz w:val="20"/>
                <w:szCs w:val="20"/>
              </w:rPr>
              <w:t xml:space="preserve">Phase 4</w:t>
            </w:r>
          </w:p>
        </w:tc>
        <w:tc>
          <w:tcPr>
            <w:tcW w:type="dxa" w:w="5200"/>
            <w:shd w:fill="EAF1E7" w:val="clear"/>
          </w:tcPr>
          <w:p>
            <w:r>
              <w:rPr>
                <w:sz w:val="20"/>
                <w:szCs w:val="20"/>
              </w:rPr>
              <w:t xml:space="preserve">Construction du score de fiabilité et discussions IMF</w:t>
            </w:r>
          </w:p>
        </w:tc>
        <w:tc>
          <w:tcPr>
            <w:tcW w:type="dxa" w:w="2000"/>
            <w:shd w:fill="EAF1E7" w:val="clear"/>
          </w:tcPr>
          <w:p>
            <w:r>
              <w:rPr>
                <w:sz w:val="20"/>
                <w:szCs w:val="20"/>
              </w:rPr>
              <w:t xml:space="preserve">6 mois+</w:t>
            </w:r>
          </w:p>
        </w:tc>
      </w:tr>
    </w:tbl>
    <w:p>
      <w:pPr>
        <w:spacing w:after="200"/>
      </w:pP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2026-09-22T11:01:35.065Z</dcterms:created>
  <dcterms:modified xsi:type="dcterms:W3CDTF">2026-09-22T11:01:35.066Z</dcterms:modified>
</cp:coreProperties>
</file>

<file path=docProps/custom.xml><?xml version="1.0" encoding="utf-8"?>
<Properties xmlns="http://schemas.openxmlformats.org/officeDocument/2006/custom-properties" xmlns:vt="http://schemas.openxmlformats.org/officeDocument/2006/docPropsVTypes"/>
</file>