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6"/>
        </w:rPr>
        <w:t>PROPOSITION COMMERCIALE &amp; TECHNIQUE</w:t>
      </w:r>
    </w:p>
    <w:p>
      <w:pPr>
        <w:jc w:val="center"/>
      </w:pPr>
      <w:r>
        <w:rPr>
          <w:b/>
          <w:color w:val="B48C2D"/>
          <w:sz w:val="40"/>
        </w:rPr>
        <w:t>LEXPREMIUM LITE - ÉDITION 2026</w:t>
      </w:r>
    </w:p>
    <w:p>
      <w:r>
        <w:br/>
        <w:br/>
        <w:br/>
        <w:br/>
        <w:br/>
      </w:r>
    </w:p>
    <w:p>
      <w:pPr>
        <w:pStyle w:val="Heading1"/>
      </w:pPr>
      <w:r>
        <w:t>1. VISION : LE CABINET NUMÉRIQUE DUO</w:t>
      </w:r>
    </w:p>
    <w:p>
      <w:r>
        <w:t>LexPremium Lite est l'édition haute performance conçue pour l'avocat moderne. Que vous soyez seul ou accompagné d'un assistant, le logiciel devient votre pilote automatique.</w:t>
      </w:r>
    </w:p>
    <w:p>
      <w:pPr>
        <w:pStyle w:val="Heading1"/>
      </w:pPr>
      <w:r>
        <w:t>2. FONCTIONNALITÉS CLÉS</w:t>
      </w:r>
    </w:p>
    <w:p>
      <w:pPr>
        <w:pStyle w:val="ListBullet"/>
      </w:pPr>
      <w:r>
        <w:rPr>
          <w:b/>
        </w:rPr>
        <w:t xml:space="preserve">Tableau de Bord Dynamique : </w:t>
      </w:r>
      <w:r>
        <w:t>Centre de commandement avec alertes forclusions et KPIs en temps réel.</w:t>
      </w:r>
    </w:p>
    <w:p>
      <w:pPr>
        <w:pStyle w:val="ListBullet"/>
      </w:pPr>
      <w:r>
        <w:rPr>
          <w:b/>
        </w:rPr>
        <w:t xml:space="preserve">Rédaction Assistée (LexAI) : </w:t>
      </w:r>
      <w:r>
        <w:t>Génération d'actes (Assignations, Conclusions) aux normes OHADA.</w:t>
      </w:r>
    </w:p>
    <w:p>
      <w:pPr>
        <w:pStyle w:val="ListBullet"/>
      </w:pPr>
      <w:r>
        <w:rPr>
          <w:b/>
        </w:rPr>
        <w:t xml:space="preserve">Base de Connaissance IA : </w:t>
      </w:r>
      <w:r>
        <w:t>Interrogez l'IA sur la jurisprudence et les textes de loi sénégalais.</w:t>
      </w:r>
    </w:p>
    <w:p>
      <w:pPr>
        <w:pStyle w:val="ListBullet"/>
      </w:pPr>
      <w:r>
        <w:rPr>
          <w:b/>
        </w:rPr>
        <w:t xml:space="preserve">Gestion Dossiers &amp; Clients : </w:t>
      </w:r>
      <w:r>
        <w:t>Archivage numérique complet et fiches clients à 360°.</w:t>
      </w:r>
    </w:p>
    <w:p>
      <w:pPr>
        <w:pStyle w:val="ListBullet"/>
      </w:pPr>
      <w:r>
        <w:rPr>
          <w:b/>
        </w:rPr>
        <w:t xml:space="preserve">Facturation &amp; Débours : </w:t>
      </w:r>
      <w:r>
        <w:t>Génération de mémoires d'honoraires et relances automatisées.</w:t>
      </w:r>
    </w:p>
    <w:p>
      <w:pPr>
        <w:pStyle w:val="Heading1"/>
      </w:pPr>
      <w:r>
        <w:t>3. SPÉCIFICATIONS TECHNIQUES</w:t>
      </w:r>
    </w:p>
    <w:p>
      <w:r>
        <w:t>Le logiciel repose sur une infrastructure Cloud sécurisée :</w:t>
      </w:r>
    </w:p>
    <w:p>
      <w:pPr>
        <w:pStyle w:val="ListBullet"/>
      </w:pPr>
      <w:r>
        <w:t>Hébergement certifié conforme aux normes de protection des données.</w:t>
      </w:r>
    </w:p>
    <w:p>
      <w:pPr>
        <w:pStyle w:val="ListBullet"/>
      </w:pPr>
      <w:r>
        <w:t>Chiffrement AES-256 pour tous les documents et échanges.</w:t>
      </w:r>
    </w:p>
    <w:p>
      <w:pPr>
        <w:pStyle w:val="ListBullet"/>
      </w:pPr>
      <w:r>
        <w:t>Accessibilité multi-plateforme (iPhone, Android, PC/Mac).</w:t>
      </w:r>
    </w:p>
    <w:p>
      <w:r>
        <w:br/>
      </w:r>
    </w:p>
    <w:p>
      <w:pPr>
        <w:jc w:val="center"/>
      </w:pPr>
      <w:r>
        <w:rPr>
          <w:i/>
          <w:color w:val="B48C2D"/>
        </w:rPr>
        <w:t>LexPremium : L'excellence technologique au service de votre expertise juridique.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