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0D1B2A"/>
          <w:sz w:val="80"/>
          <w:szCs w:val="80"/>
        </w:rPr>
        <w:t xml:space="preserve">CÉSAR-IA</w:t>
      </w:r>
    </w:p>
    <w:p>
      <w:pPr>
        <w:spacing w:after="80" w:before="40"/>
        <w:jc w:val="center"/>
      </w:pPr>
      <w:r>
        <w:rPr>
          <w:rFonts w:ascii="Arial" w:cs="Arial" w:eastAsia="Arial" w:hAnsi="Arial"/>
          <w:i/>
          <w:iCs/>
          <w:color w:val="B8860B"/>
          <w:sz w:val="32"/>
          <w:szCs w:val="32"/>
        </w:rPr>
        <w:t xml:space="preserve">Workforce AI Operating System</w:t>
      </w:r>
    </w:p>
    <w:p>
      <w:pPr>
        <w:pBdr>
          <w:bottom w:val="single" w:color="B8860B" w:sz="8" w:space="1"/>
        </w:pBdr>
        <w:spacing w:after="40" w:before="40"/>
      </w:pPr>
    </w:p>
    <w:p>
      <w:pPr>
        <w:spacing w:after="40" w:before="120"/>
        <w:jc w:val="center"/>
      </w:pPr>
      <w:r>
        <w:rPr>
          <w:rFonts w:ascii="Arial" w:cs="Arial" w:eastAsia="Arial" w:hAnsi="Arial"/>
          <w:b/>
          <w:bCs/>
          <w:color w:val="1A3550"/>
          <w:sz w:val="26"/>
          <w:szCs w:val="26"/>
        </w:rPr>
        <w:t xml:space="preserve">Business Plan — Confidentiel</w:t>
      </w:r>
    </w:p>
    <w:p>
      <w:pPr>
        <w:spacing w:after="40" w:before="40"/>
        <w:jc w:val="center"/>
      </w:pPr>
      <w:r>
        <w:rPr>
          <w:rFonts w:ascii="Arial" w:cs="Arial" w:eastAsia="Arial" w:hAnsi="Arial"/>
          <w:i/>
          <w:iCs/>
          <w:color w:val="6B7280"/>
          <w:sz w:val="22"/>
          <w:szCs w:val="22"/>
        </w:rPr>
        <w:t xml:space="preserve">Version 1.0 — 2026</w:t>
      </w:r>
    </w:p>
    <w:p>
      <w:pPr>
        <w:spacing w:after="40" w:before="600"/>
        <w:jc w:val="center"/>
      </w:pPr>
      <w:r>
        <w:rPr>
          <w:rFonts w:ascii="Arial" w:cs="Arial" w:eastAsia="Arial" w:hAnsi="Arial"/>
          <w:b/>
          <w:bCs/>
          <w:color w:val="0D1B2A"/>
          <w:sz w:val="24"/>
          <w:szCs w:val="24"/>
        </w:rPr>
        <w:t xml:space="preserve">Plateforme SaaS Premium d'Agents IA Autonomes</w:t>
      </w:r>
    </w:p>
    <w:p>
      <w:pPr>
        <w:spacing w:after="40" w:before="40"/>
        <w:jc w:val="center"/>
      </w:pPr>
      <w:r>
        <w:rPr>
          <w:rFonts w:ascii="Arial" w:cs="Arial" w:eastAsia="Arial" w:hAnsi="Arial"/>
          <w:color w:val="6B7280"/>
          <w:sz w:val="22"/>
          <w:szCs w:val="22"/>
        </w:rPr>
        <w:t xml:space="preserve">pour les PME, ETI &amp; Agences</w:t>
      </w:r>
    </w:p>
    <w:p>
      <w:r>
        <w:br w:type="page"/>
      </w:r>
    </w:p>
    <w:p>
      <w:pPr>
        <w:pStyle w:val="Heading1"/>
        <w:spacing w:after="100" w:before="320"/>
      </w:pPr>
      <w:r>
        <w:rPr>
          <w:rFonts w:ascii="Arial" w:cs="Arial" w:eastAsia="Arial" w:hAnsi="Arial"/>
          <w:b/>
          <w:bCs/>
          <w:color w:val="0D1B2A"/>
          <w:sz w:val="36"/>
          <w:szCs w:val="36"/>
        </w:rPr>
        <w:t xml:space="preserve">Business Model Canvas — César-IA</w:t>
      </w:r>
    </w:p>
    <w:p>
      <w:pPr>
        <w:pBdr>
          <w:bottom w:val="single" w:color="0D1B2A" w:sz="8" w:space="1"/>
        </w:pBdr>
        <w:spacing w:after="40" w:before="40"/>
      </w:pPr>
    </w:p>
    <w:p>
      <w:pPr>
        <w:spacing w:after="100" w:before="60"/>
        <w:jc w:val="both"/>
      </w:pPr>
      <w:r>
        <w:rPr>
          <w:rFonts w:ascii="Arial" w:cs="Arial" w:eastAsia="Arial" w:hAnsi="Arial"/>
          <w:color w:val="1A1A2E"/>
          <w:sz w:val="22"/>
          <w:szCs w:val="22"/>
        </w:rPr>
        <w:t xml:space="preserve">Le Business Model Canvas ci-dessous synthétise les 9 blocs fondamentaux de la proposition de valeur et du modèle économique de César-IA. Il constitue la feuille de route stratégique du lancement et du scale-up de la plateforme.</w:t>
      </w:r>
    </w:p>
    <w:p>
      <w:pPr>
        <w:spacing w:after="120" w:before="200"/>
      </w:pPr>
    </w:p>
    <w:tbl>
      <w:tblPr>
        <w:tblW w:type="dxa" w:w="8435"/>
        <w:tblBorders>
          <w:top w:val="single" w:color="auto" w:sz="4"/>
          <w:left w:val="single" w:color="auto" w:sz="4"/>
          <w:bottom w:val="single" w:color="auto" w:sz="4"/>
          <w:right w:val="single" w:color="auto" w:sz="4"/>
          <w:insideH w:val="single" w:color="auto" w:sz="4"/>
          <w:insideV w:val="single" w:color="auto" w:sz="4"/>
        </w:tblBorders>
      </w:tblPr>
      <w:tblGrid>
        <w:gridCol w:w="1687"/>
        <w:gridCol w:w="1687"/>
        <w:gridCol w:w="1687"/>
        <w:gridCol w:w="1687"/>
        <w:gridCol w:w="1687"/>
      </w:tblGrid>
      <w:tr>
        <w:trPr>
          <w:tblHeader/>
        </w:trPr>
        <w:tc>
          <w:tcPr>
            <w:tcW w:type="dxa" w:w="1687"/>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PARTENAIRES CLÉS</w:t>
            </w:r>
          </w:p>
        </w:tc>
        <w:tc>
          <w:tcPr>
            <w:tcW w:type="dxa" w:w="1687"/>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ACTIVITÉS CLÉS</w:t>
            </w:r>
          </w:p>
        </w:tc>
        <w:tc>
          <w:tcPr>
            <w:tcW w:type="dxa" w:w="1687"/>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PROPOSITION DE VALEUR</w:t>
            </w:r>
          </w:p>
        </w:tc>
        <w:tc>
          <w:tcPr>
            <w:tcW w:type="dxa" w:w="1687"/>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RELATION CLIENT</w:t>
            </w:r>
          </w:p>
        </w:tc>
        <w:tc>
          <w:tcPr>
            <w:tcW w:type="dxa" w:w="1687"/>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SEGMENTS CLIENTS</w:t>
            </w:r>
          </w:p>
        </w:tc>
      </w:tr>
      <w:tr>
        <w:tc>
          <w:tcPr>
            <w:tcW w:type="dxa" w:w="1687"/>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tcPr>
          <w:p>
            <w:r>
              <w:rPr>
                <w:rFonts w:ascii="Arial" w:cs="Arial" w:eastAsia="Arial" w:hAnsi="Arial"/>
                <w:b/>
                <w:bCs/>
                <w:color w:val="0D1B2A"/>
                <w:sz w:val="20"/>
                <w:szCs w:val="20"/>
              </w:rPr>
              <w:t xml:space="preserve">Fournisseurs API</w:t>
            </w:r>
          </w:p>
          <w:p>
            <w:r>
              <w:rPr>
                <w:rFonts w:ascii="Arial" w:cs="Arial" w:eastAsia="Arial" w:hAnsi="Arial"/>
                <w:color w:val="333333"/>
                <w:sz w:val="18"/>
                <w:szCs w:val="18"/>
              </w:rPr>
              <w:t xml:space="preserve">• Google Gemini (LLM)</w:t>
            </w:r>
          </w:p>
          <w:p>
            <w:r>
              <w:rPr>
                <w:rFonts w:ascii="Arial" w:cs="Arial" w:eastAsia="Arial" w:hAnsi="Arial"/>
                <w:color w:val="333333"/>
                <w:sz w:val="18"/>
                <w:szCs w:val="18"/>
              </w:rPr>
              <w:t xml:space="preserve">• Supabase (RLS/DB)</w:t>
            </w:r>
          </w:p>
          <w:p>
            <w:r>
              <w:rPr>
                <w:rFonts w:ascii="Arial" w:cs="Arial" w:eastAsia="Arial" w:hAnsi="Arial"/>
                <w:color w:val="333333"/>
                <w:sz w:val="18"/>
                <w:szCs w:val="18"/>
              </w:rPr>
              <w:t xml:space="preserve">• Vercel (hosting)</w:t>
            </w:r>
          </w:p>
          <w:p>
            <w:pPr>
              <w:spacing w:before="80"/>
            </w:pPr>
            <w:r>
              <w:rPr>
                <w:rFonts w:ascii="Arial" w:cs="Arial" w:eastAsia="Arial" w:hAnsi="Arial"/>
                <w:b/>
                <w:bCs/>
                <w:color w:val="0D1B2A"/>
                <w:sz w:val="20"/>
                <w:szCs w:val="20"/>
              </w:rPr>
              <w:t xml:space="preserve">Intégrateurs</w:t>
            </w:r>
          </w:p>
          <w:p>
            <w:r>
              <w:rPr>
                <w:rFonts w:ascii="Arial" w:cs="Arial" w:eastAsia="Arial" w:hAnsi="Arial"/>
                <w:color w:val="333333"/>
                <w:sz w:val="18"/>
                <w:szCs w:val="18"/>
              </w:rPr>
              <w:t xml:space="preserve">• Agences Make/n8n</w:t>
            </w:r>
          </w:p>
          <w:p>
            <w:r>
              <w:rPr>
                <w:rFonts w:ascii="Arial" w:cs="Arial" w:eastAsia="Arial" w:hAnsi="Arial"/>
                <w:color w:val="333333"/>
                <w:sz w:val="18"/>
                <w:szCs w:val="18"/>
              </w:rPr>
              <w:t xml:space="preserve">• Consultants Zapier</w:t>
            </w:r>
          </w:p>
          <w:p>
            <w:r>
              <w:rPr>
                <w:rFonts w:ascii="Arial" w:cs="Arial" w:eastAsia="Arial" w:hAnsi="Arial"/>
                <w:color w:val="333333"/>
                <w:sz w:val="18"/>
                <w:szCs w:val="18"/>
              </w:rPr>
              <w:t xml:space="preserve">• Freelances DevOps</w:t>
            </w:r>
          </w:p>
          <w:p>
            <w:pPr>
              <w:spacing w:before="80"/>
            </w:pPr>
            <w:r>
              <w:rPr>
                <w:rFonts w:ascii="Arial" w:cs="Arial" w:eastAsia="Arial" w:hAnsi="Arial"/>
                <w:b/>
                <w:bCs/>
                <w:color w:val="0D1B2A"/>
                <w:sz w:val="20"/>
                <w:szCs w:val="20"/>
              </w:rPr>
              <w:t xml:space="preserve">Canaux de Distrib.</w:t>
            </w:r>
          </w:p>
          <w:p>
            <w:r>
              <w:rPr>
                <w:rFonts w:ascii="Arial" w:cs="Arial" w:eastAsia="Arial" w:hAnsi="Arial"/>
                <w:color w:val="333333"/>
                <w:sz w:val="18"/>
                <w:szCs w:val="18"/>
              </w:rPr>
              <w:t xml:space="preserve">• Product Hunt</w:t>
            </w:r>
          </w:p>
          <w:p>
            <w:r>
              <w:rPr>
                <w:rFonts w:ascii="Arial" w:cs="Arial" w:eastAsia="Arial" w:hAnsi="Arial"/>
                <w:color w:val="333333"/>
                <w:sz w:val="18"/>
                <w:szCs w:val="18"/>
              </w:rPr>
              <w:t xml:space="preserve">• LinkedIn B2B</w:t>
            </w:r>
          </w:p>
        </w:tc>
        <w:tc>
          <w:tcPr>
            <w:tcW w:type="dxa" w:w="1687"/>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tcPr>
          <w:p>
            <w:r>
              <w:rPr>
                <w:rFonts w:ascii="Arial" w:cs="Arial" w:eastAsia="Arial" w:hAnsi="Arial"/>
                <w:b/>
                <w:bCs/>
                <w:color w:val="0D1B2A"/>
                <w:sz w:val="20"/>
                <w:szCs w:val="20"/>
              </w:rPr>
              <w:t xml:space="preserve">Développement</w:t>
            </w:r>
          </w:p>
          <w:p>
            <w:r>
              <w:rPr>
                <w:rFonts w:ascii="Arial" w:cs="Arial" w:eastAsia="Arial" w:hAnsi="Arial"/>
                <w:color w:val="333333"/>
                <w:sz w:val="18"/>
                <w:szCs w:val="18"/>
              </w:rPr>
              <w:t xml:space="preserve">• Orchestration agents</w:t>
            </w:r>
          </w:p>
          <w:p>
            <w:r>
              <w:rPr>
                <w:rFonts w:ascii="Arial" w:cs="Arial" w:eastAsia="Arial" w:hAnsi="Arial"/>
                <w:color w:val="333333"/>
                <w:sz w:val="18"/>
                <w:szCs w:val="18"/>
              </w:rPr>
              <w:t xml:space="preserve">• Intégration connecteurs</w:t>
            </w:r>
          </w:p>
          <w:p>
            <w:r>
              <w:rPr>
                <w:rFonts w:ascii="Arial" w:cs="Arial" w:eastAsia="Arial" w:hAnsi="Arial"/>
                <w:color w:val="333333"/>
                <w:sz w:val="18"/>
                <w:szCs w:val="18"/>
              </w:rPr>
              <w:t xml:space="preserve">• Sandbox / Playground</w:t>
            </w:r>
          </w:p>
          <w:p>
            <w:pPr>
              <w:spacing w:before="80"/>
            </w:pPr>
            <w:r>
              <w:rPr>
                <w:rFonts w:ascii="Arial" w:cs="Arial" w:eastAsia="Arial" w:hAnsi="Arial"/>
                <w:b/>
                <w:bCs/>
                <w:color w:val="0D1B2A"/>
                <w:sz w:val="20"/>
                <w:szCs w:val="20"/>
              </w:rPr>
              <w:t xml:space="preserve">Opérations</w:t>
            </w:r>
          </w:p>
          <w:p>
            <w:r>
              <w:rPr>
                <w:rFonts w:ascii="Arial" w:cs="Arial" w:eastAsia="Arial" w:hAnsi="Arial"/>
                <w:color w:val="333333"/>
                <w:sz w:val="18"/>
                <w:szCs w:val="18"/>
              </w:rPr>
              <w:t xml:space="preserve">• Onboarding clients</w:t>
            </w:r>
          </w:p>
          <w:p>
            <w:r>
              <w:rPr>
                <w:rFonts w:ascii="Arial" w:cs="Arial" w:eastAsia="Arial" w:hAnsi="Arial"/>
                <w:color w:val="333333"/>
                <w:sz w:val="18"/>
                <w:szCs w:val="18"/>
              </w:rPr>
              <w:t xml:space="preserve">• Monitoring agents</w:t>
            </w:r>
          </w:p>
          <w:p>
            <w:r>
              <w:rPr>
                <w:rFonts w:ascii="Arial" w:cs="Arial" w:eastAsia="Arial" w:hAnsi="Arial"/>
                <w:color w:val="333333"/>
                <w:sz w:val="18"/>
                <w:szCs w:val="18"/>
              </w:rPr>
              <w:t xml:space="preserve">• Support technique</w:t>
            </w:r>
          </w:p>
          <w:p>
            <w:pPr>
              <w:spacing w:before="80"/>
            </w:pPr>
            <w:r>
              <w:rPr>
                <w:rFonts w:ascii="Arial" w:cs="Arial" w:eastAsia="Arial" w:hAnsi="Arial"/>
                <w:b/>
                <w:bCs/>
                <w:color w:val="0D1B2A"/>
                <w:sz w:val="20"/>
                <w:szCs w:val="20"/>
              </w:rPr>
              <w:t xml:space="preserve">Acquisition</w:t>
            </w:r>
          </w:p>
          <w:p>
            <w:r>
              <w:rPr>
                <w:rFonts w:ascii="Arial" w:cs="Arial" w:eastAsia="Arial" w:hAnsi="Arial"/>
                <w:color w:val="333333"/>
                <w:sz w:val="18"/>
                <w:szCs w:val="18"/>
              </w:rPr>
              <w:t xml:space="preserve">• Outbound Apollo</w:t>
            </w:r>
          </w:p>
          <w:p>
            <w:r>
              <w:rPr>
                <w:rFonts w:ascii="Arial" w:cs="Arial" w:eastAsia="Arial" w:hAnsi="Arial"/>
                <w:color w:val="333333"/>
                <w:sz w:val="18"/>
                <w:szCs w:val="18"/>
              </w:rPr>
              <w:t xml:space="preserve">• PLG / Démos live</w:t>
            </w:r>
          </w:p>
        </w:tc>
        <w:tc>
          <w:tcPr>
            <w:tcW w:type="dxa" w:w="1687"/>
            <w:tcBorders>
              <w:top w:val="single" w:color="B8860B" w:sz="2"/>
              <w:left w:val="single" w:color="B8860B" w:sz="2"/>
              <w:bottom w:val="single" w:color="B8860B" w:sz="2"/>
              <w:right w:val="single" w:color="B8860B" w:sz="2"/>
            </w:tcBorders>
            <w:shd w:fill="E8EEF4" w:val="clear"/>
            <w:tcMar>
              <w:top w:type="dxa" w:w="80"/>
              <w:left w:type="dxa" w:w="120"/>
              <w:bottom w:type="dxa" w:w="80"/>
              <w:right w:type="dxa" w:w="120"/>
            </w:tcMar>
          </w:tcPr>
          <w:p>
            <w:r>
              <w:rPr>
                <w:rFonts w:ascii="Arial" w:cs="Arial" w:eastAsia="Arial" w:hAnsi="Arial"/>
                <w:b/>
                <w:bCs/>
                <w:color w:val="0D1B2A"/>
                <w:sz w:val="20"/>
                <w:szCs w:val="20"/>
              </w:rPr>
              <w:t xml:space="preserve">AI Workforce OS</w:t>
            </w:r>
          </w:p>
          <w:p>
            <w:pPr>
              <w:spacing w:before="60"/>
            </w:pPr>
            <w:r>
              <w:rPr>
                <w:rFonts w:ascii="Arial" w:cs="Arial" w:eastAsia="Arial" w:hAnsi="Arial"/>
                <w:i/>
                <w:iCs/>
                <w:color w:val="B8860B"/>
                <w:sz w:val="18"/>
                <w:szCs w:val="18"/>
              </w:rPr>
              <w:t xml:space="preserve">15 agents autonomes</w:t>
            </w:r>
          </w:p>
          <w:p>
            <w:pPr>
              <w:spacing w:before="60"/>
            </w:pPr>
            <w:r>
              <w:rPr>
                <w:rFonts w:ascii="Arial" w:cs="Arial" w:eastAsia="Arial" w:hAnsi="Arial"/>
                <w:color w:val="333333"/>
                <w:sz w:val="18"/>
                <w:szCs w:val="18"/>
              </w:rPr>
              <w:t xml:space="preserve">• Exécution réelle via</w:t>
            </w:r>
          </w:p>
          <w:p>
            <w:r>
              <w:rPr>
                <w:rFonts w:ascii="Arial" w:cs="Arial" w:eastAsia="Arial" w:hAnsi="Arial"/>
                <w:color w:val="333333"/>
                <w:sz w:val="18"/>
                <w:szCs w:val="18"/>
              </w:rPr>
              <w:t xml:space="preserve">  Tool Calling (Gemini)</w:t>
            </w:r>
          </w:p>
          <w:p>
            <w:r>
              <w:rPr>
                <w:rFonts w:ascii="Arial" w:cs="Arial" w:eastAsia="Arial" w:hAnsi="Arial"/>
                <w:color w:val="333333"/>
                <w:sz w:val="18"/>
                <w:szCs w:val="18"/>
              </w:rPr>
              <w:t xml:space="preserve">• Connecteurs natifs :</w:t>
            </w:r>
          </w:p>
          <w:p>
            <w:r>
              <w:rPr>
                <w:rFonts w:ascii="Arial" w:cs="Arial" w:eastAsia="Arial" w:hAnsi="Arial"/>
                <w:color w:val="333333"/>
                <w:sz w:val="18"/>
                <w:szCs w:val="18"/>
              </w:rPr>
              <w:t xml:space="preserve">  SQL, SSH, Slack,</w:t>
            </w:r>
          </w:p>
          <w:p>
            <w:r>
              <w:rPr>
                <w:rFonts w:ascii="Arial" w:cs="Arial" w:eastAsia="Arial" w:hAnsi="Arial"/>
                <w:color w:val="333333"/>
                <w:sz w:val="18"/>
                <w:szCs w:val="18"/>
              </w:rPr>
              <w:t xml:space="preserve">  Notion, WordPress...</w:t>
            </w:r>
          </w:p>
          <w:p>
            <w:r>
              <w:rPr>
                <w:rFonts w:ascii="Arial" w:cs="Arial" w:eastAsia="Arial" w:hAnsi="Arial"/>
                <w:color w:val="333333"/>
                <w:sz w:val="18"/>
                <w:szCs w:val="18"/>
              </w:rPr>
              <w:t xml:space="preserve">• Sécurité RLS totale</w:t>
            </w:r>
          </w:p>
          <w:p>
            <w:r>
              <w:rPr>
                <w:rFonts w:ascii="Arial" w:cs="Arial" w:eastAsia="Arial" w:hAnsi="Arial"/>
                <w:color w:val="333333"/>
                <w:sz w:val="18"/>
                <w:szCs w:val="18"/>
              </w:rPr>
              <w:t xml:space="preserve">• Marge brute &gt;90%</w:t>
            </w:r>
          </w:p>
          <w:p>
            <w:r>
              <w:rPr>
                <w:rFonts w:ascii="Arial" w:cs="Arial" w:eastAsia="Arial" w:hAnsi="Arial"/>
                <w:color w:val="333333"/>
                <w:sz w:val="18"/>
                <w:szCs w:val="18"/>
              </w:rPr>
              <w:t xml:space="preserve">• Setup fee = CAC</w:t>
            </w:r>
          </w:p>
          <w:p>
            <w:r>
              <w:rPr>
                <w:rFonts w:ascii="Arial" w:cs="Arial" w:eastAsia="Arial" w:hAnsi="Arial"/>
                <w:color w:val="333333"/>
                <w:sz w:val="18"/>
                <w:szCs w:val="18"/>
              </w:rPr>
              <w:t xml:space="preserve">  autofinancé</w:t>
            </w:r>
          </w:p>
        </w:tc>
        <w:tc>
          <w:tcPr>
            <w:tcW w:type="dxa" w:w="1687"/>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tcPr>
          <w:p>
            <w:r>
              <w:rPr>
                <w:rFonts w:ascii="Arial" w:cs="Arial" w:eastAsia="Arial" w:hAnsi="Arial"/>
                <w:b/>
                <w:bCs/>
                <w:color w:val="0D1B2A"/>
                <w:sz w:val="20"/>
                <w:szCs w:val="20"/>
              </w:rPr>
              <w:t xml:space="preserve">Self-Service</w:t>
            </w:r>
          </w:p>
          <w:p>
            <w:r>
              <w:rPr>
                <w:rFonts w:ascii="Arial" w:cs="Arial" w:eastAsia="Arial" w:hAnsi="Arial"/>
                <w:color w:val="333333"/>
                <w:sz w:val="18"/>
                <w:szCs w:val="18"/>
              </w:rPr>
              <w:t xml:space="preserve">• Playground interactif</w:t>
            </w:r>
          </w:p>
          <w:p>
            <w:r>
              <w:rPr>
                <w:rFonts w:ascii="Arial" w:cs="Arial" w:eastAsia="Arial" w:hAnsi="Arial"/>
                <w:color w:val="333333"/>
                <w:sz w:val="18"/>
                <w:szCs w:val="18"/>
              </w:rPr>
              <w:t xml:space="preserve">• Docs &amp; tutorials</w:t>
            </w:r>
          </w:p>
          <w:p>
            <w:pPr>
              <w:spacing w:before="80"/>
            </w:pPr>
            <w:r>
              <w:rPr>
                <w:rFonts w:ascii="Arial" w:cs="Arial" w:eastAsia="Arial" w:hAnsi="Arial"/>
                <w:b/>
                <w:bCs/>
                <w:color w:val="0D1B2A"/>
                <w:sz w:val="20"/>
                <w:szCs w:val="20"/>
              </w:rPr>
              <w:t xml:space="preserve">High-Touch</w:t>
            </w:r>
          </w:p>
          <w:p>
            <w:r>
              <w:rPr>
                <w:rFonts w:ascii="Arial" w:cs="Arial" w:eastAsia="Arial" w:hAnsi="Arial"/>
                <w:color w:val="333333"/>
                <w:sz w:val="18"/>
                <w:szCs w:val="18"/>
              </w:rPr>
              <w:t xml:space="preserve">• Onboarding dédié</w:t>
            </w:r>
          </w:p>
          <w:p>
            <w:r>
              <w:rPr>
                <w:rFonts w:ascii="Arial" w:cs="Arial" w:eastAsia="Arial" w:hAnsi="Arial"/>
                <w:color w:val="333333"/>
                <w:sz w:val="18"/>
                <w:szCs w:val="18"/>
              </w:rPr>
              <w:t xml:space="preserve">• Slack channel client</w:t>
            </w:r>
          </w:p>
          <w:p>
            <w:pPr>
              <w:spacing w:before="80"/>
            </w:pPr>
            <w:r>
              <w:rPr>
                <w:rFonts w:ascii="Arial" w:cs="Arial" w:eastAsia="Arial" w:hAnsi="Arial"/>
                <w:b/>
                <w:bCs/>
                <w:color w:val="0D1B2A"/>
                <w:sz w:val="20"/>
                <w:szCs w:val="20"/>
              </w:rPr>
              <w:t xml:space="preserve">Fidélisation</w:t>
            </w:r>
          </w:p>
          <w:p>
            <w:r>
              <w:rPr>
                <w:rFonts w:ascii="Arial" w:cs="Arial" w:eastAsia="Arial" w:hAnsi="Arial"/>
                <w:color w:val="333333"/>
                <w:sz w:val="18"/>
                <w:szCs w:val="18"/>
              </w:rPr>
              <w:t xml:space="preserve">• Résiliation planif.</w:t>
            </w:r>
          </w:p>
          <w:p>
            <w:r>
              <w:rPr>
                <w:rFonts w:ascii="Arial" w:cs="Arial" w:eastAsia="Arial" w:hAnsi="Arial"/>
                <w:color w:val="333333"/>
                <w:sz w:val="18"/>
                <w:szCs w:val="18"/>
              </w:rPr>
              <w:t xml:space="preserve">  (accès fin de cycle)</w:t>
            </w:r>
          </w:p>
          <w:p>
            <w:r>
              <w:rPr>
                <w:rFonts w:ascii="Arial" w:cs="Arial" w:eastAsia="Arial" w:hAnsi="Arial"/>
                <w:color w:val="333333"/>
                <w:sz w:val="18"/>
                <w:szCs w:val="18"/>
              </w:rPr>
              <w:t xml:space="preserve">• Rapport usage/mois</w:t>
            </w:r>
          </w:p>
        </w:tc>
        <w:tc>
          <w:tcPr>
            <w:tcW w:type="dxa" w:w="1687"/>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tcPr>
          <w:p>
            <w:r>
              <w:rPr>
                <w:rFonts w:ascii="Arial" w:cs="Arial" w:eastAsia="Arial" w:hAnsi="Arial"/>
                <w:b/>
                <w:bCs/>
                <w:color w:val="0D1B2A"/>
                <w:sz w:val="20"/>
                <w:szCs w:val="20"/>
              </w:rPr>
              <w:t xml:space="preserve">Segment 1</w:t>
            </w:r>
          </w:p>
          <w:p>
            <w:r>
              <w:rPr>
                <w:rFonts w:ascii="Arial" w:cs="Arial" w:eastAsia="Arial" w:hAnsi="Arial"/>
                <w:i/>
                <w:iCs/>
                <w:color w:val="1A3550"/>
                <w:sz w:val="18"/>
                <w:szCs w:val="18"/>
              </w:rPr>
              <w:t xml:space="preserve">PME &amp; Startups</w:t>
            </w:r>
          </w:p>
          <w:p>
            <w:r>
              <w:rPr>
                <w:rFonts w:ascii="Arial" w:cs="Arial" w:eastAsia="Arial" w:hAnsi="Arial"/>
                <w:color w:val="333333"/>
                <w:sz w:val="18"/>
                <w:szCs w:val="18"/>
              </w:rPr>
              <w:t xml:space="preserve">Croissance sans</w:t>
            </w:r>
          </w:p>
          <w:p>
            <w:r>
              <w:rPr>
                <w:rFonts w:ascii="Arial" w:cs="Arial" w:eastAsia="Arial" w:hAnsi="Arial"/>
                <w:color w:val="333333"/>
                <w:sz w:val="18"/>
                <w:szCs w:val="18"/>
              </w:rPr>
              <w:t xml:space="preserve">embauche</w:t>
            </w:r>
          </w:p>
          <w:p>
            <w:pPr>
              <w:spacing w:before="80"/>
            </w:pPr>
            <w:r>
              <w:rPr>
                <w:rFonts w:ascii="Arial" w:cs="Arial" w:eastAsia="Arial" w:hAnsi="Arial"/>
                <w:b/>
                <w:bCs/>
                <w:color w:val="0D1B2A"/>
                <w:sz w:val="20"/>
                <w:szCs w:val="20"/>
              </w:rPr>
              <w:t xml:space="preserve">Segment 2</w:t>
            </w:r>
          </w:p>
          <w:p>
            <w:r>
              <w:rPr>
                <w:rFonts w:ascii="Arial" w:cs="Arial" w:eastAsia="Arial" w:hAnsi="Arial"/>
                <w:i/>
                <w:iCs/>
                <w:color w:val="1A3550"/>
                <w:sz w:val="18"/>
                <w:szCs w:val="18"/>
              </w:rPr>
              <w:t xml:space="preserve">Agences &amp; Freelances</w:t>
            </w:r>
          </w:p>
          <w:p>
            <w:r>
              <w:rPr>
                <w:rFonts w:ascii="Arial" w:cs="Arial" w:eastAsia="Arial" w:hAnsi="Arial"/>
                <w:color w:val="333333"/>
                <w:sz w:val="18"/>
                <w:szCs w:val="18"/>
              </w:rPr>
              <w:t xml:space="preserve">Revente agents à</w:t>
            </w:r>
          </w:p>
          <w:p>
            <w:r>
              <w:rPr>
                <w:rFonts w:ascii="Arial" w:cs="Arial" w:eastAsia="Arial" w:hAnsi="Arial"/>
                <w:color w:val="333333"/>
                <w:sz w:val="18"/>
                <w:szCs w:val="18"/>
              </w:rPr>
              <w:t xml:space="preserve">leurs propres clients</w:t>
            </w:r>
          </w:p>
          <w:p>
            <w:pPr>
              <w:spacing w:before="80"/>
            </w:pPr>
            <w:r>
              <w:rPr>
                <w:rFonts w:ascii="Arial" w:cs="Arial" w:eastAsia="Arial" w:hAnsi="Arial"/>
                <w:b/>
                <w:bCs/>
                <w:color w:val="0D1B2A"/>
                <w:sz w:val="20"/>
                <w:szCs w:val="20"/>
              </w:rPr>
              <w:t xml:space="preserve">Segment 3</w:t>
            </w:r>
          </w:p>
          <w:p>
            <w:r>
              <w:rPr>
                <w:rFonts w:ascii="Arial" w:cs="Arial" w:eastAsia="Arial" w:hAnsi="Arial"/>
                <w:i/>
                <w:iCs/>
                <w:color w:val="1A3550"/>
                <w:sz w:val="18"/>
                <w:szCs w:val="18"/>
              </w:rPr>
              <w:t xml:space="preserve">ETI / Enterprise</w:t>
            </w:r>
          </w:p>
          <w:p>
            <w:r>
              <w:rPr>
                <w:rFonts w:ascii="Arial" w:cs="Arial" w:eastAsia="Arial" w:hAnsi="Arial"/>
                <w:color w:val="333333"/>
                <w:sz w:val="18"/>
                <w:szCs w:val="18"/>
              </w:rPr>
              <w:t xml:space="preserve">Zeus — flottes sur</w:t>
            </w:r>
          </w:p>
          <w:p>
            <w:r>
              <w:rPr>
                <w:rFonts w:ascii="Arial" w:cs="Arial" w:eastAsia="Arial" w:hAnsi="Arial"/>
                <w:color w:val="333333"/>
                <w:sz w:val="18"/>
                <w:szCs w:val="18"/>
              </w:rPr>
              <w:t xml:space="preserve">mesure, sur devis</w:t>
            </w:r>
          </w:p>
        </w:tc>
      </w:tr>
      <w:tr>
        <w:tc>
          <w:tcPr>
            <w:tcW w:type="dxa" w:w="1687"/>
            <w:tcBorders>
              <w:top w:val="single" w:color="CBD5E1" w:sz="1"/>
              <w:left w:val="single" w:color="CBD5E1" w:sz="1"/>
              <w:bottom w:val="single" w:color="CBD5E1" w:sz="1"/>
              <w:right w:val="single" w:color="CBD5E1" w:sz="1"/>
            </w:tcBorders>
            <w:shd w:fill="FFF8E7" w:val="clear"/>
            <w:tcMar>
              <w:top w:type="dxa" w:w="80"/>
              <w:left w:type="dxa" w:w="120"/>
              <w:bottom w:type="dxa" w:w="80"/>
              <w:right w:type="dxa" w:w="120"/>
            </w:tcMar>
          </w:tcPr>
          <w:p>
            <w:r>
              <w:rPr>
                <w:rFonts w:ascii="Arial" w:cs="Arial" w:eastAsia="Arial" w:hAnsi="Arial"/>
                <w:b/>
                <w:bCs/>
                <w:color w:val="0D1B2A"/>
                <w:sz w:val="20"/>
                <w:szCs w:val="20"/>
              </w:rPr>
              <w:t xml:space="preserve">RESSOURCES CLÉS</w:t>
            </w:r>
          </w:p>
          <w:p>
            <w:r>
              <w:rPr>
                <w:rFonts w:ascii="Arial" w:cs="Arial" w:eastAsia="Arial" w:hAnsi="Arial"/>
                <w:color w:val="333333"/>
                <w:sz w:val="18"/>
                <w:szCs w:val="18"/>
              </w:rPr>
              <w:t xml:space="preserve">• Codebase agents IA</w:t>
            </w:r>
          </w:p>
          <w:p>
            <w:r>
              <w:rPr>
                <w:rFonts w:ascii="Arial" w:cs="Arial" w:eastAsia="Arial" w:hAnsi="Arial"/>
                <w:color w:val="333333"/>
                <w:sz w:val="18"/>
                <w:szCs w:val="18"/>
              </w:rPr>
              <w:t xml:space="preserve">• Catalogue 15 agents</w:t>
            </w:r>
          </w:p>
          <w:p>
            <w:r>
              <w:rPr>
                <w:rFonts w:ascii="Arial" w:cs="Arial" w:eastAsia="Arial" w:hAnsi="Arial"/>
                <w:color w:val="333333"/>
                <w:sz w:val="18"/>
                <w:szCs w:val="18"/>
              </w:rPr>
              <w:t xml:space="preserve">• Infra Supabase/Vercel</w:t>
            </w:r>
          </w:p>
          <w:p>
            <w:r>
              <w:rPr>
                <w:rFonts w:ascii="Arial" w:cs="Arial" w:eastAsia="Arial" w:hAnsi="Arial"/>
                <w:color w:val="333333"/>
                <w:sz w:val="18"/>
                <w:szCs w:val="18"/>
              </w:rPr>
              <w:t xml:space="preserve">• Réseau intégrateurs</w:t>
            </w:r>
          </w:p>
          <w:p>
            <w:r>
              <w:rPr>
                <w:rFonts w:ascii="Arial" w:cs="Arial" w:eastAsia="Arial" w:hAnsi="Arial"/>
                <w:color w:val="333333"/>
                <w:sz w:val="18"/>
                <w:szCs w:val="18"/>
              </w:rPr>
              <w:t xml:space="preserve">• Données d'usage clients</w:t>
            </w:r>
          </w:p>
        </w:tc>
        <w:tc>
          <w:tcPr>
            <w:tcW w:type="dxa" w:w="3374"/>
            <w:gridSpan w:val="2"/>
            <w:tcBorders>
              <w:top w:val="single" w:color="CBD5E1" w:sz="1"/>
              <w:left w:val="single" w:color="CBD5E1" w:sz="1"/>
              <w:bottom w:val="single" w:color="CBD5E1" w:sz="1"/>
              <w:right w:val="single" w:color="CBD5E1" w:sz="1"/>
            </w:tcBorders>
            <w:shd w:fill="FFF8E7" w:val="clear"/>
            <w:tcMar>
              <w:top w:type="dxa" w:w="80"/>
              <w:left w:type="dxa" w:w="120"/>
              <w:bottom w:type="dxa" w:w="80"/>
              <w:right w:type="dxa" w:w="120"/>
            </w:tcMar>
          </w:tcPr>
          <w:p>
            <w:r>
              <w:rPr>
                <w:rFonts w:ascii="Arial" w:cs="Arial" w:eastAsia="Arial" w:hAnsi="Arial"/>
                <w:b/>
                <w:bCs/>
                <w:color w:val="0D1B2A"/>
                <w:sz w:val="20"/>
                <w:szCs w:val="20"/>
              </w:rPr>
              <w:t xml:space="preserve">CANAUX DE DISTRIBUTION</w:t>
            </w:r>
          </w:p>
          <w:p>
            <w:r>
              <w:rPr>
                <w:rFonts w:ascii="Arial" w:cs="Arial" w:eastAsia="Arial" w:hAnsi="Arial"/>
                <w:color w:val="333333"/>
                <w:sz w:val="18"/>
                <w:szCs w:val="18"/>
              </w:rPr>
              <w:t xml:space="preserve">• Outbound email via l'agent Apollo (Proof-of-concept live)</w:t>
            </w:r>
          </w:p>
          <w:p>
            <w:r>
              <w:rPr>
                <w:rFonts w:ascii="Arial" w:cs="Arial" w:eastAsia="Arial" w:hAnsi="Arial"/>
                <w:color w:val="333333"/>
                <w:sz w:val="18"/>
                <w:szCs w:val="18"/>
              </w:rPr>
              <w:t xml:space="preserve">• Partenariats intégrateurs (Make, n8n, Zapier, agences web)</w:t>
            </w:r>
          </w:p>
          <w:p>
            <w:r>
              <w:rPr>
                <w:rFonts w:ascii="Arial" w:cs="Arial" w:eastAsia="Arial" w:hAnsi="Arial"/>
                <w:color w:val="333333"/>
                <w:sz w:val="18"/>
                <w:szCs w:val="18"/>
              </w:rPr>
              <w:t xml:space="preserve">• PLG : playground interactif &amp; démos sur la landing page</w:t>
            </w:r>
          </w:p>
          <w:p>
            <w:r>
              <w:rPr>
                <w:rFonts w:ascii="Arial" w:cs="Arial" w:eastAsia="Arial" w:hAnsi="Arial"/>
                <w:color w:val="333333"/>
                <w:sz w:val="18"/>
                <w:szCs w:val="18"/>
              </w:rPr>
              <w:t xml:space="preserve">• LinkedIn / Product Hunt / Communautés SaaS</w:t>
            </w:r>
          </w:p>
        </w:tc>
        <w:tc>
          <w:tcPr>
            <w:tcW w:type="dxa" w:w="3374"/>
            <w:gridSpan w:val="2"/>
            <w:tcBorders>
              <w:top w:val="single" w:color="CBD5E1" w:sz="1"/>
              <w:left w:val="single" w:color="CBD5E1" w:sz="1"/>
              <w:bottom w:val="single" w:color="CBD5E1" w:sz="1"/>
              <w:right w:val="single" w:color="CBD5E1" w:sz="1"/>
            </w:tcBorders>
            <w:shd w:fill="FFF8E7" w:val="clear"/>
            <w:tcMar>
              <w:top w:type="dxa" w:w="80"/>
              <w:left w:type="dxa" w:w="120"/>
              <w:bottom w:type="dxa" w:w="80"/>
              <w:right w:type="dxa" w:w="120"/>
            </w:tcMar>
          </w:tcPr>
          <w:p>
            <w:r>
              <w:rPr>
                <w:rFonts w:ascii="Arial" w:cs="Arial" w:eastAsia="Arial" w:hAnsi="Arial"/>
                <w:b/>
                <w:bCs/>
                <w:color w:val="0D1B2A"/>
                <w:sz w:val="20"/>
                <w:szCs w:val="20"/>
              </w:rPr>
              <w:t xml:space="preserve">STRUCTURE DE REVENUS</w:t>
            </w:r>
          </w:p>
          <w:p>
            <w:r>
              <w:rPr>
                <w:rFonts w:ascii="Arial" w:cs="Arial" w:eastAsia="Arial" w:hAnsi="Arial"/>
                <w:color w:val="333333"/>
                <w:sz w:val="18"/>
                <w:szCs w:val="18"/>
              </w:rPr>
              <w:t xml:space="preserve">• Setup fees uniques (onboarding) — CAC autofinancé</w:t>
            </w:r>
          </w:p>
          <w:p>
            <w:r>
              <w:rPr>
                <w:rFonts w:ascii="Arial" w:cs="Arial" w:eastAsia="Arial" w:hAnsi="Arial"/>
                <w:color w:val="333333"/>
                <w:sz w:val="18"/>
                <w:szCs w:val="18"/>
              </w:rPr>
              <w:t xml:space="preserve">• Abonnements récurrents (MRR) — Starter 149€, Pro 299€, Business 599€</w:t>
            </w:r>
          </w:p>
          <w:p>
            <w:r>
              <w:rPr>
                <w:rFonts w:ascii="Arial" w:cs="Arial" w:eastAsia="Arial" w:hAnsi="Arial"/>
                <w:color w:val="333333"/>
                <w:sz w:val="18"/>
                <w:szCs w:val="18"/>
              </w:rPr>
              <w:t xml:space="preserve">• Forfaits packs (-25%) — Starter 447€, Pro 2 017€, Business 3 365€/mois</w:t>
            </w:r>
          </w:p>
          <w:p>
            <w:r>
              <w:rPr>
                <w:rFonts w:ascii="Arial" w:cs="Arial" w:eastAsia="Arial" w:hAnsi="Arial"/>
                <w:color w:val="333333"/>
                <w:sz w:val="18"/>
                <w:szCs w:val="18"/>
              </w:rPr>
              <w:t xml:space="preserve">• Zeus Enterprise — sur devis (deal sizes &gt; 10 000€/mois estimé)</w:t>
            </w:r>
          </w:p>
        </w:tc>
      </w:tr>
      <w:tr>
        <w:tc>
          <w:tcPr>
            <w:tcW w:type="dxa" w:w="4218"/>
            <w:gridSpan w:val="2"/>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tcPr>
          <w:p>
            <w:r>
              <w:rPr>
                <w:rFonts w:ascii="Arial" w:cs="Arial" w:eastAsia="Arial" w:hAnsi="Arial"/>
                <w:b/>
                <w:bCs/>
                <w:color w:val="B8860B"/>
                <w:sz w:val="20"/>
                <w:szCs w:val="20"/>
              </w:rPr>
              <w:t xml:space="preserve">STRUCTURE DE COÛTS</w:t>
            </w:r>
          </w:p>
          <w:p>
            <w:r>
              <w:rPr>
                <w:rFonts w:ascii="Arial" w:cs="Arial" w:eastAsia="Arial" w:hAnsi="Arial"/>
                <w:color w:val="FFFFFF"/>
                <w:sz w:val="18"/>
                <w:szCs w:val="18"/>
              </w:rPr>
              <w:t xml:space="preserve">• API LLM Gemini 2.5 Flash : ~5-10€/client/mois (ultra-faible)</w:t>
            </w:r>
          </w:p>
          <w:p>
            <w:r>
              <w:rPr>
                <w:rFonts w:ascii="Arial" w:cs="Arial" w:eastAsia="Arial" w:hAnsi="Arial"/>
                <w:color w:val="FFFFFF"/>
                <w:sz w:val="18"/>
                <w:szCs w:val="18"/>
              </w:rPr>
              <w:t xml:space="preserve">• Hébergement serverless Vercel + Supabase : &lt;100€/mois pour 100 clients</w:t>
            </w:r>
          </w:p>
          <w:p>
            <w:r>
              <w:rPr>
                <w:rFonts w:ascii="Arial" w:cs="Arial" w:eastAsia="Arial" w:hAnsi="Arial"/>
                <w:color w:val="FFFFFF"/>
                <w:sz w:val="18"/>
                <w:szCs w:val="18"/>
              </w:rPr>
              <w:t xml:space="preserve">• CAC cible : 200€ - 350€/client (couvert par setup fee dès J+1)</w:t>
            </w:r>
          </w:p>
          <w:p>
            <w:r>
              <w:rPr>
                <w:rFonts w:ascii="Arial" w:cs="Arial" w:eastAsia="Arial" w:hAnsi="Arial"/>
                <w:b/>
                <w:bCs/>
                <w:color w:val="B8860B"/>
                <w:sz w:val="18"/>
                <w:szCs w:val="18"/>
              </w:rPr>
              <w:t xml:space="preserve">=&gt; Marge brute estimée &gt; 90% sur abonnements récurrents</w:t>
            </w:r>
          </w:p>
        </w:tc>
        <w:tc>
          <w:tcPr>
            <w:tcW w:type="dxa" w:w="4217"/>
            <w:gridSpan w:val="3"/>
            <w:tcBorders>
              <w:top w:val="single" w:color="CBD5E1" w:sz="1"/>
              <w:left w:val="single" w:color="CBD5E1" w:sz="1"/>
              <w:bottom w:val="single" w:color="CBD5E1" w:sz="1"/>
              <w:right w:val="single" w:color="CBD5E1" w:sz="1"/>
            </w:tcBorders>
            <w:shd w:fill="1A3550" w:val="clear"/>
            <w:tcMar>
              <w:top w:type="dxa" w:w="80"/>
              <w:left w:type="dxa" w:w="120"/>
              <w:bottom w:type="dxa" w:w="80"/>
              <w:right w:type="dxa" w:w="120"/>
            </w:tcMar>
          </w:tcPr>
          <w:p>
            <w:r>
              <w:rPr>
                <w:rFonts w:ascii="Arial" w:cs="Arial" w:eastAsia="Arial" w:hAnsi="Arial"/>
                <w:b/>
                <w:bCs/>
                <w:color w:val="B8860B"/>
                <w:sz w:val="20"/>
                <w:szCs w:val="20"/>
              </w:rPr>
              <w:t xml:space="preserve">SOURCES DE REVENUS RÉCURRENTS (MRR/ARR)</w:t>
            </w:r>
          </w:p>
          <w:p>
            <w:r>
              <w:rPr>
                <w:rFonts w:ascii="Arial" w:cs="Arial" w:eastAsia="Arial" w:hAnsi="Arial"/>
                <w:color w:val="FFFFFF"/>
                <w:sz w:val="18"/>
                <w:szCs w:val="18"/>
              </w:rPr>
              <w:t xml:space="preserve">• Modèle à la carte avec remise 15% dès 3 agents actifs</w:t>
            </w:r>
          </w:p>
          <w:p>
            <w:r>
              <w:rPr>
                <w:rFonts w:ascii="Arial" w:cs="Arial" w:eastAsia="Arial" w:hAnsi="Arial"/>
                <w:color w:val="FFFFFF"/>
                <w:sz w:val="18"/>
                <w:szCs w:val="18"/>
              </w:rPr>
              <w:t xml:space="preserve">• Forfaits globaux à -25% pour la digitalisation par département</w:t>
            </w:r>
          </w:p>
          <w:p>
            <w:r>
              <w:rPr>
                <w:rFonts w:ascii="Arial" w:cs="Arial" w:eastAsia="Arial" w:hAnsi="Arial"/>
                <w:color w:val="FFFFFF"/>
                <w:sz w:val="18"/>
                <w:szCs w:val="18"/>
              </w:rPr>
              <w:t xml:space="preserve">• Règle de surclassement (setup fee waiver) pour upsell rapide</w:t>
            </w:r>
          </w:p>
          <w:p>
            <w:r>
              <w:rPr>
                <w:rFonts w:ascii="Arial" w:cs="Arial" w:eastAsia="Arial" w:hAnsi="Arial"/>
                <w:b/>
                <w:bCs/>
                <w:color w:val="B8860B"/>
                <w:sz w:val="18"/>
                <w:szCs w:val="18"/>
              </w:rPr>
              <w:t xml:space="preserve">=&gt; ARR cible Année 1 : 150 000€ | Année 3 : 900 000€+</w:t>
            </w:r>
          </w:p>
        </w:tc>
      </w:tr>
    </w:tbl>
    <w:p>
      <w:r>
        <w:br w:type="page"/>
      </w:r>
    </w:p>
    <w:p>
      <w:pPr>
        <w:pStyle w:val="Heading1"/>
        <w:spacing w:after="100" w:before="320"/>
      </w:pPr>
      <w:r>
        <w:rPr>
          <w:rFonts w:ascii="Arial" w:cs="Arial" w:eastAsia="Arial" w:hAnsi="Arial"/>
          <w:b/>
          <w:bCs/>
          <w:color w:val="0D1B2A"/>
          <w:sz w:val="36"/>
          <w:szCs w:val="36"/>
        </w:rPr>
        <w:t xml:space="preserve">Plan d'Affaires — César-IA</w:t>
      </w:r>
    </w:p>
    <w:p>
      <w:pPr>
        <w:pBdr>
          <w:bottom w:val="single" w:color="0D1B2A" w:sz="8" w:space="1"/>
        </w:pBdr>
        <w:spacing w:after="40" w:before="40"/>
      </w:pPr>
    </w:p>
    <w:p>
      <w:pPr>
        <w:pStyle w:val="Heading2"/>
        <w:spacing w:after="80" w:before="220"/>
      </w:pPr>
      <w:r>
        <w:rPr>
          <w:rFonts w:ascii="Arial" w:cs="Arial" w:eastAsia="Arial" w:hAnsi="Arial"/>
          <w:b/>
          <w:bCs/>
          <w:color w:val="1A3550"/>
          <w:sz w:val="28"/>
          <w:szCs w:val="28"/>
        </w:rPr>
        <w:t xml:space="preserve">2.1 Résumé Exécutif</w:t>
      </w:r>
    </w:p>
    <w:p>
      <w:pPr>
        <w:spacing w:after="100" w:before="60"/>
        <w:jc w:val="both"/>
      </w:pPr>
      <w:r>
        <w:rPr>
          <w:rFonts w:ascii="Arial" w:cs="Arial" w:eastAsia="Arial" w:hAnsi="Arial"/>
          <w:color w:val="1A1A2E"/>
          <w:sz w:val="22"/>
          <w:szCs w:val="22"/>
        </w:rPr>
        <w:t xml:space="preserve">César-IA est une plateforme SaaS B2B de catégorie « Workforce AI OS » permettant à des PME, ETI et agences de déployer des agents d'intelligence artificielle autonomes, capables d'agir concrètement sur leurs outils métier. Grâce à l'architecture de Tool Calling de Google Gemini 2.5 Flash, les agents César-IA ne se contentent pas de générer du texte : ils exécutent des commandes SSH, interrogent des bases PostgreSQL, publient sur Slack, déclenchent des webhooks, rédigent et publient des articles WordPress, et bien plus encore.</w:t>
      </w:r>
    </w:p>
    <w:p>
      <w:pPr>
        <w:spacing w:after="100" w:before="60"/>
        <w:jc w:val="both"/>
      </w:pPr>
      <w:r>
        <w:rPr>
          <w:rFonts w:ascii="Arial" w:cs="Arial" w:eastAsia="Arial" w:hAnsi="Arial"/>
          <w:color w:val="1A1A2E"/>
          <w:sz w:val="22"/>
          <w:szCs w:val="22"/>
        </w:rPr>
        <w:t xml:space="preserve">La plateforme est lancée en full bootstrapping, sans capital externe, en utilisant les revenus immédiats des frais de setup pour financer l'acquisition client. Le modèle de tarification à double entrée (à la carte + forfaits) maximise l'ARPU à chaque segment. La marge brute cible dépasse 90 % grâce à des coûts techniques marginaux extrêmement faibles (API Gemini + hébergement serverless).</w:t>
      </w:r>
    </w:p>
    <w:p>
      <w:pPr>
        <w:pStyle w:val="Heading2"/>
        <w:spacing w:after="80" w:before="220"/>
      </w:pPr>
      <w:r>
        <w:rPr>
          <w:rFonts w:ascii="Arial" w:cs="Arial" w:eastAsia="Arial" w:hAnsi="Arial"/>
          <w:b/>
          <w:bCs/>
          <w:color w:val="1A3550"/>
          <w:sz w:val="28"/>
          <w:szCs w:val="28"/>
        </w:rPr>
        <w:t xml:space="preserve">2.2 Modèle Économique &amp; Pricing</w:t>
      </w:r>
    </w:p>
    <w:p>
      <w:pPr>
        <w:spacing w:after="60" w:before="160"/>
      </w:pPr>
      <w:r>
        <w:rPr>
          <w:rFonts w:ascii="Arial" w:cs="Arial" w:eastAsia="Arial" w:hAnsi="Arial"/>
          <w:b/>
          <w:bCs/>
          <w:color w:val="B8860B"/>
          <w:sz w:val="24"/>
          <w:szCs w:val="24"/>
        </w:rPr>
        <w:t xml:space="preserve">A. Tarification à la Carte</w:t>
      </w:r>
    </w:p>
    <w:p>
      <w:pPr>
        <w:spacing w:after="100" w:before="60"/>
        <w:jc w:val="both"/>
      </w:pPr>
      <w:r>
        <w:rPr>
          <w:rFonts w:ascii="Arial" w:cs="Arial" w:eastAsia="Arial" w:hAnsi="Arial"/>
          <w:color w:val="1A1A2E"/>
          <w:sz w:val="22"/>
          <w:szCs w:val="22"/>
        </w:rPr>
        <w:t xml:space="preserve">Chaque agent est disponible individuellement avec un frais de setup unique (de 500 € à 3 000 € selon le tier) couvrant l'intégration et l'onboarding humain, puis un abonnement mensuel récurrent (149 €, 299 € ou 599 € selon le niveau Starter, Pro ou Business). Deux mécanismes d'optimisation commerciale amplifient l'ARPU :</w:t>
      </w:r>
    </w:p>
    <w:p>
      <w:pPr>
        <w:pStyle w:val="ListParagraph"/>
        <w:numPr>
          <w:ilvl w:val="0"/>
          <w:numId w:val="2"/>
        </w:numPr>
        <w:spacing w:after="40" w:before="40"/>
      </w:pPr>
      <w:r>
        <w:rPr>
          <w:rFonts w:ascii="Arial" w:cs="Arial" w:eastAsia="Arial" w:hAnsi="Arial"/>
          <w:color w:val="1A1A2E"/>
          <w:sz w:val="22"/>
          <w:szCs w:val="22"/>
        </w:rPr>
        <w:t xml:space="preserve">Setup Fee Waiver : dès qu'un client souscrit à un agent Business (599 €/mois), tous les frais de setup des agents Starter et Pro sont offerts, créant un puissant incitatif à l'upsell.</w:t>
      </w:r>
    </w:p>
    <w:p>
      <w:pPr>
        <w:pStyle w:val="ListParagraph"/>
        <w:numPr>
          <w:ilvl w:val="0"/>
          <w:numId w:val="2"/>
        </w:numPr>
        <w:spacing w:after="40" w:before="40"/>
      </w:pPr>
      <w:r>
        <w:rPr>
          <w:rFonts w:ascii="Arial" w:cs="Arial" w:eastAsia="Arial" w:hAnsi="Arial"/>
          <w:color w:val="1A1A2E"/>
          <w:sz w:val="22"/>
          <w:szCs w:val="22"/>
        </w:rPr>
        <w:t xml:space="preserve">Remise Quantitative : à partir de 3 agents actifs simultanément, une remise automatique de 15 % s'applique sur la facture mensuelle globale.</w:t>
      </w:r>
    </w:p>
    <w:p>
      <w:pPr>
        <w:spacing w:after="60" w:before="160"/>
      </w:pPr>
      <w:r>
        <w:rPr>
          <w:rFonts w:ascii="Arial" w:cs="Arial" w:eastAsia="Arial" w:hAnsi="Arial"/>
          <w:b/>
          <w:bCs/>
          <w:color w:val="B8860B"/>
          <w:sz w:val="24"/>
          <w:szCs w:val="24"/>
        </w:rPr>
        <w:t xml:space="preserve">B. Forfaits Globaux (–25 %)</w:t>
      </w:r>
    </w:p>
    <w:p>
      <w:pPr>
        <w:spacing w:after="100" w:before="60"/>
        <w:jc w:val="both"/>
      </w:pPr>
      <w:r>
        <w:rPr>
          <w:rFonts w:ascii="Arial" w:cs="Arial" w:eastAsia="Arial" w:hAnsi="Arial"/>
          <w:color w:val="1A1A2E"/>
          <w:sz w:val="22"/>
          <w:szCs w:val="22"/>
        </w:rPr>
        <w:t xml:space="preserve">Pour les entreprises souhaitant digitaliser des départements entiers, César-IA propose trois forfaits clés en main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1600"/>
        <w:gridCol w:w="1600"/>
        <w:gridCol w:w="1760"/>
        <w:gridCol w:w="1560"/>
      </w:tblGrid>
      <w:tr>
        <w:trPr>
          <w:tblHeader/>
        </w:trPr>
        <w:tc>
          <w:tcPr>
            <w:tcW w:type="dxa" w:w="250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Forfait</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Prix mensuel</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Valeur cumulée</w:t>
            </w:r>
          </w:p>
        </w:tc>
        <w:tc>
          <w:tcPr>
            <w:tcW w:type="dxa" w:w="17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Économie mensuelle</w:t>
            </w:r>
          </w:p>
        </w:tc>
        <w:tc>
          <w:tcPr>
            <w:tcW w:type="dxa" w:w="156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Setup inclus</w:t>
            </w:r>
          </w:p>
        </w:tc>
      </w:tr>
      <w:tr>
        <w:tc>
          <w:tcPr>
            <w:tcW w:type="dxa" w:w="25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Starter Pack (4 agents)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447 €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596 €</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149 €</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800 € (–1 200 €)</w:t>
            </w:r>
          </w:p>
        </w:tc>
      </w:tr>
      <w:tr>
        <w:tc>
          <w:tcPr>
            <w:tcW w:type="dxa" w:w="250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 Pack (11 agents)</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2 017 €</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2 689 €</w:t>
            </w:r>
          </w:p>
        </w:tc>
        <w:tc>
          <w:tcPr>
            <w:tcW w:type="dxa" w:w="176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672 €</w:t>
            </w:r>
          </w:p>
        </w:tc>
        <w:tc>
          <w:tcPr>
            <w:tcW w:type="dxa" w:w="156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2 500 € (–10 000 €)</w:t>
            </w:r>
          </w:p>
        </w:tc>
      </w:tr>
      <w:tr>
        <w:tc>
          <w:tcPr>
            <w:tcW w:type="dxa" w:w="25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Business All-Access (14 agents)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3 365 €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4 486 €</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1 122 €</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4 500 € (–17 000 €)</w:t>
            </w:r>
          </w:p>
        </w:tc>
      </w:tr>
    </w:tbl>
    <w:p>
      <w:pPr>
        <w:spacing w:after="60" w:before="160"/>
      </w:pPr>
      <w:r>
        <w:rPr>
          <w:rFonts w:ascii="Arial" w:cs="Arial" w:eastAsia="Arial" w:hAnsi="Arial"/>
          <w:b/>
          <w:bCs/>
          <w:color w:val="B8860B"/>
          <w:sz w:val="24"/>
          <w:szCs w:val="24"/>
        </w:rPr>
        <w:t xml:space="preserve">C. Zeus Enterprise</w:t>
      </w:r>
    </w:p>
    <w:p>
      <w:pPr>
        <w:spacing w:after="100" w:before="60"/>
        <w:jc w:val="both"/>
      </w:pPr>
      <w:r>
        <w:rPr>
          <w:rFonts w:ascii="Arial" w:cs="Arial" w:eastAsia="Arial" w:hAnsi="Arial"/>
          <w:color w:val="1A1A2E"/>
          <w:sz w:val="22"/>
          <w:szCs w:val="22"/>
        </w:rPr>
        <w:t xml:space="preserve">L'agent Zeus, superviseur de flotte multi-agents, est proposé sur devis pour les ETI et grandes entreprises nécessitant une intégration sur-mesure à leurs systèmes d'information internes. Deal size estimé : &gt; 10 000 € / mois.</w:t>
      </w:r>
    </w:p>
    <w:p>
      <w:pPr>
        <w:pStyle w:val="Heading2"/>
        <w:spacing w:after="80" w:before="220"/>
      </w:pPr>
      <w:r>
        <w:rPr>
          <w:rFonts w:ascii="Arial" w:cs="Arial" w:eastAsia="Arial" w:hAnsi="Arial"/>
          <w:b/>
          <w:bCs/>
          <w:color w:val="1A3550"/>
          <w:sz w:val="28"/>
          <w:szCs w:val="28"/>
        </w:rPr>
        <w:t xml:space="preserve">2.3 Stratégie Go-To-Market (GTM)</w:t>
      </w:r>
    </w:p>
    <w:p>
      <w:pPr>
        <w:spacing w:after="60" w:before="160"/>
      </w:pPr>
      <w:r>
        <w:rPr>
          <w:rFonts w:ascii="Arial" w:cs="Arial" w:eastAsia="Arial" w:hAnsi="Arial"/>
          <w:b/>
          <w:bCs/>
          <w:color w:val="B8860B"/>
          <w:sz w:val="24"/>
          <w:szCs w:val="24"/>
        </w:rPr>
        <w:t xml:space="preserve">Axe 1 — Preuve par l'Exemple (Outbound Self-Fulfilling)</w:t>
      </w:r>
    </w:p>
    <w:p>
      <w:pPr>
        <w:spacing w:after="100" w:before="60"/>
        <w:jc w:val="both"/>
      </w:pPr>
      <w:r>
        <w:rPr>
          <w:rFonts w:ascii="Arial" w:cs="Arial" w:eastAsia="Arial" w:hAnsi="Arial"/>
          <w:color w:val="1A1A2E"/>
          <w:sz w:val="22"/>
          <w:szCs w:val="22"/>
        </w:rPr>
        <w:t xml:space="preserve">La démonstration de valeur la plus puissante de César-IA est l'utilisation de ses propres agents pour se faire connaître. L'agent Apollo génère des listes de leads qualifiés depuis Hunter.io, enrichit les profils dans HubSpot, et déclenche des campagnes d'e-mailing B2B hyper-personnalisées via Gmail. Chaque séquence d'outbound devient ainsi un proof-of-concept live, montrant directement aux prospects ce que César-IA peut faire pour eux.</w:t>
      </w:r>
    </w:p>
    <w:p>
      <w:pPr>
        <w:spacing w:after="60" w:before="160"/>
      </w:pPr>
      <w:r>
        <w:rPr>
          <w:rFonts w:ascii="Arial" w:cs="Arial" w:eastAsia="Arial" w:hAnsi="Arial"/>
          <w:b/>
          <w:bCs/>
          <w:color w:val="B8860B"/>
          <w:sz w:val="24"/>
          <w:szCs w:val="24"/>
        </w:rPr>
        <w:t xml:space="preserve">Axe 2 — Partenariats Intégrateurs (Channel Sales)</w:t>
      </w:r>
    </w:p>
    <w:p>
      <w:pPr>
        <w:spacing w:after="100" w:before="60"/>
        <w:jc w:val="both"/>
      </w:pPr>
      <w:r>
        <w:rPr>
          <w:rFonts w:ascii="Arial" w:cs="Arial" w:eastAsia="Arial" w:hAnsi="Arial"/>
          <w:color w:val="1A1A2E"/>
          <w:sz w:val="22"/>
          <w:szCs w:val="22"/>
        </w:rPr>
        <w:t xml:space="preserve">César-IA établit des accords de partenariat avec des consultants et agences spécialisés dans les outils d'automatisation (Make, n8n, Zapier) ainsi que des agences web full-stack. Ces intégrateurs déploient César-IA chez leurs propres clients en échange d'une commission récurrente ou d'un accès préférentiel, démultipliant la force de vente sans coût marketing direct. Ce canal constitue le levier de croissance principal en phase de lancement.</w:t>
      </w:r>
    </w:p>
    <w:p>
      <w:pPr>
        <w:spacing w:after="60" w:before="160"/>
      </w:pPr>
      <w:r>
        <w:rPr>
          <w:rFonts w:ascii="Arial" w:cs="Arial" w:eastAsia="Arial" w:hAnsi="Arial"/>
          <w:b/>
          <w:bCs/>
          <w:color w:val="B8860B"/>
          <w:sz w:val="24"/>
          <w:szCs w:val="24"/>
        </w:rPr>
        <w:t xml:space="preserve">Axe 3 — Product-Led Growth (PLG)</w:t>
      </w:r>
    </w:p>
    <w:p>
      <w:pPr>
        <w:spacing w:after="100" w:before="60"/>
        <w:jc w:val="both"/>
      </w:pPr>
      <w:r>
        <w:rPr>
          <w:rFonts w:ascii="Arial" w:cs="Arial" w:eastAsia="Arial" w:hAnsi="Arial"/>
          <w:color w:val="1A1A2E"/>
          <w:sz w:val="22"/>
          <w:szCs w:val="22"/>
        </w:rPr>
        <w:t xml:space="preserve">La landing page de César-IA intègre un bac à sable interactif permettant à tout visiteur d'interagir en temps réel avec un ou deux agents en mode démo. L'objectif est de convertir la curiosité en intention d'achat en quelques minutes, sans intervention commerciale. Ce modèle PLG réduit structurellement le CAC et raccourcit le cycle de vente.</w:t>
      </w:r>
    </w:p>
    <w:p>
      <w:pPr>
        <w:spacing w:after="60" w:before="160"/>
      </w:pPr>
      <w:r>
        <w:rPr>
          <w:rFonts w:ascii="Arial" w:cs="Arial" w:eastAsia="Arial" w:hAnsi="Arial"/>
          <w:b/>
          <w:bCs/>
          <w:color w:val="B8860B"/>
          <w:sz w:val="24"/>
          <w:szCs w:val="24"/>
        </w:rPr>
        <w:t xml:space="preserve">Axe 4 — Communautés &amp; Médias B2B</w:t>
      </w:r>
    </w:p>
    <w:p>
      <w:pPr>
        <w:spacing w:after="100" w:before="60"/>
        <w:jc w:val="both"/>
      </w:pPr>
      <w:r>
        <w:rPr>
          <w:rFonts w:ascii="Arial" w:cs="Arial" w:eastAsia="Arial" w:hAnsi="Arial"/>
          <w:color w:val="1A1A2E"/>
          <w:sz w:val="22"/>
          <w:szCs w:val="22"/>
        </w:rPr>
        <w:t xml:space="preserve">Publication de cas d'usage concrets sur LinkedIn, Product Hunt, et dans des newsletters SaaS (Indie Hackers, SaaS Alliance France). La mise en avant de métriques réelles (ex. : « 40 heures de support client automatisées en 1 mois ») crée une preuve sociale crédible auprès des décideurs PME.</w:t>
      </w:r>
    </w:p>
    <w:p>
      <w:pPr>
        <w:pStyle w:val="Heading2"/>
        <w:spacing w:after="80" w:before="220"/>
      </w:pPr>
      <w:r>
        <w:rPr>
          <w:rFonts w:ascii="Arial" w:cs="Arial" w:eastAsia="Arial" w:hAnsi="Arial"/>
          <w:b/>
          <w:bCs/>
          <w:color w:val="1A3550"/>
          <w:sz w:val="28"/>
          <w:szCs w:val="28"/>
        </w:rPr>
        <w:t xml:space="preserve">2.4 Processus d'Onboarding Client</w:t>
      </w:r>
    </w:p>
    <w:p>
      <w:pPr>
        <w:spacing w:after="60" w:before="160"/>
      </w:pPr>
      <w:r>
        <w:rPr>
          <w:rFonts w:ascii="Arial" w:cs="Arial" w:eastAsia="Arial" w:hAnsi="Arial"/>
          <w:b/>
          <w:bCs/>
          <w:color w:val="B8860B"/>
          <w:sz w:val="24"/>
          <w:szCs w:val="24"/>
        </w:rPr>
        <w:t xml:space="preserve">Phase 1 — Contractualisation &amp; Setup Fee</w:t>
      </w:r>
    </w:p>
    <w:p>
      <w:pPr>
        <w:spacing w:after="100" w:before="60"/>
        <w:jc w:val="both"/>
      </w:pPr>
      <w:r>
        <w:rPr>
          <w:rFonts w:ascii="Arial" w:cs="Arial" w:eastAsia="Arial" w:hAnsi="Arial"/>
          <w:color w:val="1A1A2E"/>
          <w:sz w:val="22"/>
          <w:szCs w:val="22"/>
        </w:rPr>
        <w:t xml:space="preserve">Dès la signature, le frais de setup est encaissé. Ce flux de trésorerie immédiat couvre intégralement le CAC cible (200–350 €) et finance la prestation d'intégration humaine incluse dans l'offre.</w:t>
      </w:r>
    </w:p>
    <w:p>
      <w:pPr>
        <w:spacing w:after="60" w:before="160"/>
      </w:pPr>
      <w:r>
        <w:rPr>
          <w:rFonts w:ascii="Arial" w:cs="Arial" w:eastAsia="Arial" w:hAnsi="Arial"/>
          <w:b/>
          <w:bCs/>
          <w:color w:val="B8860B"/>
          <w:sz w:val="24"/>
          <w:szCs w:val="24"/>
        </w:rPr>
        <w:t xml:space="preserve">Phase 2 — Session d'Intégration (J+1 à J+7)</w:t>
      </w:r>
    </w:p>
    <w:p>
      <w:pPr>
        <w:spacing w:after="100" w:before="60"/>
        <w:jc w:val="both"/>
      </w:pPr>
      <w:r>
        <w:rPr>
          <w:rFonts w:ascii="Arial" w:cs="Arial" w:eastAsia="Arial" w:hAnsi="Arial"/>
          <w:color w:val="1A1A2E"/>
          <w:sz w:val="22"/>
          <w:szCs w:val="22"/>
        </w:rPr>
        <w:t xml:space="preserve">Un responsable technique César-IA accompagne le client sur une session de configuration des connecteurs (clés API, accès SSH, tokens OAuth). Cette session est brève, structurée autour d'un guide pas-à-pas, et se termine par un test de validation de bout en bout de l'agent déployé.</w:t>
      </w:r>
    </w:p>
    <w:p>
      <w:pPr>
        <w:spacing w:after="60" w:before="160"/>
      </w:pPr>
      <w:r>
        <w:rPr>
          <w:rFonts w:ascii="Arial" w:cs="Arial" w:eastAsia="Arial" w:hAnsi="Arial"/>
          <w:b/>
          <w:bCs/>
          <w:color w:val="B8860B"/>
          <w:sz w:val="24"/>
          <w:szCs w:val="24"/>
        </w:rPr>
        <w:t xml:space="preserve">Phase 3 — Autonomisation &amp; Suivi</w:t>
      </w:r>
    </w:p>
    <w:p>
      <w:pPr>
        <w:spacing w:after="100" w:before="60"/>
        <w:jc w:val="both"/>
      </w:pPr>
      <w:r>
        <w:rPr>
          <w:rFonts w:ascii="Arial" w:cs="Arial" w:eastAsia="Arial" w:hAnsi="Arial"/>
          <w:color w:val="1A1A2E"/>
          <w:sz w:val="22"/>
          <w:szCs w:val="22"/>
        </w:rPr>
        <w:t xml:space="preserve">Les 30 premiers jours, le client dispose d'un canal de support dédié (Slack ou Crisp). Un rapport mensuel d'usage (nombre d'actions exécutées, tokens consommés, taux de succès des appels d'outils) est envoyé automatiquement. La satisfaction client à J+30 conditionne le premier renouvellement.</w:t>
      </w:r>
    </w:p>
    <w:p>
      <w:pPr>
        <w:spacing w:after="60" w:before="160"/>
      </w:pPr>
      <w:r>
        <w:rPr>
          <w:rFonts w:ascii="Arial" w:cs="Arial" w:eastAsia="Arial" w:hAnsi="Arial"/>
          <w:b/>
          <w:bCs/>
          <w:color w:val="B8860B"/>
          <w:sz w:val="24"/>
          <w:szCs w:val="24"/>
        </w:rPr>
        <w:t xml:space="preserve">UX de Résiliation Planifiée</w:t>
      </w:r>
    </w:p>
    <w:p>
      <w:pPr>
        <w:spacing w:after="100" w:before="60"/>
        <w:jc w:val="both"/>
      </w:pPr>
      <w:r>
        <w:rPr>
          <w:rFonts w:ascii="Arial" w:cs="Arial" w:eastAsia="Arial" w:hAnsi="Arial"/>
          <w:color w:val="1A1A2E"/>
          <w:sz w:val="22"/>
          <w:szCs w:val="22"/>
        </w:rPr>
        <w:t xml:space="preserve">Si un client initie une résiliation, son accès est maintenu jusqu'à la fin du cycle de facturation en cours (30 jours). L'agent reste visible dans son espace, marqué « Résiliation planifiée ». La facturation cesse au prochain renouvellement. Cette approche respectueuse réduit les frictions et favorise les retours.</w:t>
      </w:r>
    </w:p>
    <w:p>
      <w:pPr>
        <w:pStyle w:val="Heading2"/>
        <w:spacing w:after="80" w:before="220"/>
      </w:pPr>
      <w:r>
        <w:rPr>
          <w:rFonts w:ascii="Arial" w:cs="Arial" w:eastAsia="Arial" w:hAnsi="Arial"/>
          <w:b/>
          <w:bCs/>
          <w:color w:val="1A3550"/>
          <w:sz w:val="28"/>
          <w:szCs w:val="28"/>
        </w:rPr>
        <w:t xml:space="preserve">2.5 Analyse du Taux de Désabonnement (Churn)</w:t>
      </w:r>
    </w:p>
    <w:p>
      <w:pPr>
        <w:spacing w:after="100" w:before="60"/>
        <w:jc w:val="both"/>
      </w:pPr>
      <w:r>
        <w:rPr>
          <w:rFonts w:ascii="Arial" w:cs="Arial" w:eastAsia="Arial" w:hAnsi="Arial"/>
          <w:color w:val="1A1A2E"/>
          <w:sz w:val="22"/>
          <w:szCs w:val="22"/>
        </w:rPr>
        <w:t xml:space="preserve">Le churn est l'indicateur de santé le plus critique d'un SaaS B2B. La stratégie de César-IA repose sur un principe fondamental : plus les agents sont intégrés dans les processus quotidiens d'une PME, plus le coût de migration devient prohibitif. Cette « adhérence opérationnelle » est le premier rempart contre le churn.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800"/>
        <w:gridCol w:w="1800"/>
        <w:gridCol w:w="1800"/>
        <w:gridCol w:w="1620"/>
      </w:tblGrid>
      <w:tr>
        <w:trPr>
          <w:tblHeader/>
        </w:trPr>
        <w:tc>
          <w:tcPr>
            <w:tcW w:type="dxa" w:w="200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Année</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Churn annuel cible</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Churn mensuel implicite</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Clients perdus (base 100)</w:t>
            </w:r>
          </w:p>
        </w:tc>
        <w:tc>
          <w:tcPr>
            <w:tcW w:type="dxa" w:w="162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Levier principal</w:t>
            </w:r>
          </w:p>
        </w:tc>
      </w:tr>
      <w:tr>
        <w:tc>
          <w:tcPr>
            <w:tcW w:type="dxa" w:w="20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Année 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8,00 %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~0,69 %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clients</w:t>
            </w:r>
          </w:p>
        </w:tc>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Onboarding &amp; adoption</w:t>
            </w:r>
          </w:p>
        </w:tc>
      </w:tr>
      <w:tr>
        <w:tc>
          <w:tcPr>
            <w:tcW w:type="dxa" w:w="200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Année 2</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7,40 %</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~0,64 %</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 clients</w:t>
            </w:r>
          </w:p>
        </w:tc>
        <w:tc>
          <w:tcPr>
            <w:tcW w:type="dxa" w:w="162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Rapports usage + NPS</w:t>
            </w:r>
          </w:p>
        </w:tc>
      </w:tr>
      <w:tr>
        <w:tc>
          <w:tcPr>
            <w:tcW w:type="dxa" w:w="200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Année 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 6,80 %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~0,58 %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 clients</w:t>
            </w:r>
          </w:p>
        </w:tc>
        <w:tc>
          <w:tcPr>
            <w:tcW w:type="dxa" w:w="16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Intégration profonde SI</w:t>
            </w:r>
          </w:p>
        </w:tc>
      </w:tr>
    </w:tbl>
    <w:p>
      <w:pPr>
        <w:spacing w:after="100" w:before="120"/>
        <w:jc w:val="both"/>
      </w:pPr>
      <w:r>
        <w:rPr>
          <w:rFonts w:ascii="Arial" w:cs="Arial" w:eastAsia="Arial" w:hAnsi="Arial"/>
          <w:color w:val="1A1A2E"/>
          <w:sz w:val="22"/>
          <w:szCs w:val="22"/>
        </w:rPr>
        <w:t xml:space="preserve">Les principaux moteurs de réduction du churn sont : (1) la multiplication des connecteurs actifs par client (chaque connecteur ajouté augmente la stickiness), (2) les rapports mensuels d'usage qui quantifient le ROI pour le décideur, et (3) la règle de Setup Fee Waiver qui incite à activer davantage d'agents plutôt qu'à résilier.</w:t>
      </w:r>
    </w:p>
    <w:p>
      <w:pPr>
        <w:pStyle w:val="Heading2"/>
        <w:spacing w:after="80" w:before="220"/>
      </w:pPr>
      <w:r>
        <w:rPr>
          <w:rFonts w:ascii="Arial" w:cs="Arial" w:eastAsia="Arial" w:hAnsi="Arial"/>
          <w:b/>
          <w:bCs/>
          <w:color w:val="1A3550"/>
          <w:sz w:val="28"/>
          <w:szCs w:val="28"/>
        </w:rPr>
        <w:t xml:space="preserve">2.6 Matrice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226"/>
      </w:tblGrid>
      <w:tr>
        <w:trPr>
          <w:tblHeader/>
        </w:trPr>
        <w:tc>
          <w:tcPr>
            <w:tcW w:type="dxa" w:w="2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Risque</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Probabilité</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Impact</w:t>
            </w:r>
          </w:p>
        </w:tc>
        <w:tc>
          <w:tcPr>
            <w:tcW w:type="dxa" w:w="322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Mitigation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Hausse tarifs API Google Gemini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Clauses de prix variables + test multi-LLM (OpenAI, Mistral)</w:t>
            </w:r>
          </w:p>
        </w:tc>
      </w:tr>
      <w:tr>
        <w:tc>
          <w:tcPr>
            <w:tcW w:type="dxa" w:w="2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Concurrence big tech (MS Copilot, etc.)</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Élevé</w:t>
            </w:r>
          </w:p>
        </w:tc>
        <w:tc>
          <w:tcPr>
            <w:tcW w:type="dxa" w:w="32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Spécialisation verticale + connecteurs niche PME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Churn élevé en phase early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Élevé</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Onboarding humain inclus + suivi J+30</w:t>
            </w:r>
          </w:p>
        </w:tc>
      </w:tr>
      <w:tr>
        <w:tc>
          <w:tcPr>
            <w:tcW w:type="dxa" w:w="2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Réglementation IA (EU AI Act)</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Faible</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Moyen</w:t>
            </w:r>
          </w:p>
        </w:tc>
        <w:tc>
          <w:tcPr>
            <w:tcW w:type="dxa" w:w="32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Conformité RGPD dès J+1, RLS Supabase, data residency EU</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Difficultés de recrutement tech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Faible</w:t>
            </w:r>
          </w:p>
        </w:tc>
        <w:tc>
          <w:tcPr>
            <w:tcW w:type="dxa" w:w="32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Bootstrapping + agents internes pour les tâches répétitives</w:t>
            </w:r>
          </w:p>
        </w:tc>
      </w:tr>
    </w:tbl>
    <w:p>
      <w:r>
        <w:br w:type="page"/>
      </w:r>
    </w:p>
    <w:p>
      <w:pPr>
        <w:pStyle w:val="Heading1"/>
        <w:spacing w:after="100" w:before="320"/>
      </w:pPr>
      <w:r>
        <w:rPr>
          <w:rFonts w:ascii="Arial" w:cs="Arial" w:eastAsia="Arial" w:hAnsi="Arial"/>
          <w:b/>
          <w:bCs/>
          <w:color w:val="0D1B2A"/>
          <w:sz w:val="36"/>
          <w:szCs w:val="36"/>
        </w:rPr>
        <w:t xml:space="preserve">Prévisionnel Financier — 3 Ans</w:t>
      </w:r>
    </w:p>
    <w:p>
      <w:pPr>
        <w:pBdr>
          <w:bottom w:val="single" w:color="0D1B2A" w:sz="8" w:space="1"/>
        </w:pBdr>
        <w:spacing w:after="40" w:before="40"/>
      </w:pPr>
    </w:p>
    <w:p>
      <w:pPr>
        <w:spacing w:after="100" w:before="60"/>
        <w:jc w:val="both"/>
      </w:pPr>
      <w:r>
        <w:rPr>
          <w:rFonts w:ascii="Arial" w:cs="Arial" w:eastAsia="Arial" w:hAnsi="Arial"/>
          <w:color w:val="1A1A2E"/>
          <w:sz w:val="22"/>
          <w:szCs w:val="22"/>
        </w:rPr>
        <w:t xml:space="preserve">Les projections ci-dessous reposent sur les hypothèses suivantes : ARPU mensuel moyen pondéré de 702 € (mix 50 % Starter solo, 30 % Pro solo, 10 % Pack Pro, 10 % Pack Business All-Access), frais de setup moyen pondéré de 1 400 €/client, churn mensuel de 0,69 % en An1, 0,64 % en An2, 0,58 % en An3. Charges fixes bootstrapped : 3 000 €/mois en An1, 6 000 € en An2, 12 000 € en An3. COGS variable (API + hosting) : ~7 % du MRR.</w:t>
      </w:r>
    </w:p>
    <w:p>
      <w:pPr>
        <w:pStyle w:val="Heading2"/>
        <w:spacing w:after="80" w:before="220"/>
      </w:pPr>
      <w:r>
        <w:rPr>
          <w:rFonts w:ascii="Arial" w:cs="Arial" w:eastAsia="Arial" w:hAnsi="Arial"/>
          <w:b/>
          <w:bCs/>
          <w:color w:val="1A3550"/>
          <w:sz w:val="28"/>
          <w:szCs w:val="28"/>
        </w:rPr>
        <w:t xml:space="preserve">3.1 Synthèse des Indicateurs Clés par Année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2100"/>
        <w:gridCol w:w="2100"/>
        <w:gridCol w:w="2200"/>
      </w:tblGrid>
      <w:tr>
        <w:trPr>
          <w:tblHeader/>
        </w:trPr>
        <w:tc>
          <w:tcPr>
            <w:tcW w:type="dxa" w:w="262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Indicateur</w:t>
            </w:r>
          </w:p>
        </w:tc>
        <w:tc>
          <w:tcPr>
            <w:tcW w:type="dxa" w:w="21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Année 1</w:t>
            </w:r>
          </w:p>
        </w:tc>
        <w:tc>
          <w:tcPr>
            <w:tcW w:type="dxa" w:w="21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Année 2</w:t>
            </w:r>
          </w:p>
        </w:tc>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Année 3</w:t>
            </w:r>
          </w:p>
        </w:tc>
      </w:tr>
      <w:tr>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Clients fin de période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83</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567</w:t>
            </w:r>
          </w:p>
        </w:tc>
      </w:tr>
      <w:tr>
        <w:tc>
          <w:tcPr>
            <w:tcW w:type="dxa" w:w="26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MRR fin de période</w:t>
            </w:r>
          </w:p>
        </w:tc>
        <w:tc>
          <w:tcPr>
            <w:tcW w:type="dxa" w:w="2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58 266 €</w:t>
            </w:r>
          </w:p>
        </w:tc>
        <w:tc>
          <w:tcPr>
            <w:tcW w:type="dxa" w:w="2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177 606 €</w:t>
            </w:r>
          </w:p>
        </w:tc>
        <w:tc>
          <w:tcPr>
            <w:tcW w:type="dxa" w:w="2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398 034 €</w:t>
            </w:r>
          </w:p>
        </w:tc>
      </w:tr>
      <w:tr>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ARR fin de période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699 192 €</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2 131 272 €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4 776 408 €</w:t>
            </w:r>
          </w:p>
        </w:tc>
      </w:tr>
      <w:tr>
        <w:tc>
          <w:tcPr>
            <w:tcW w:type="dxa" w:w="26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Setup Fees collectés</w:t>
            </w:r>
          </w:p>
        </w:tc>
        <w:tc>
          <w:tcPr>
            <w:tcW w:type="dxa" w:w="2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133 000 €</w:t>
            </w:r>
          </w:p>
        </w:tc>
        <w:tc>
          <w:tcPr>
            <w:tcW w:type="dxa" w:w="2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261 800 €</w:t>
            </w:r>
          </w:p>
        </w:tc>
        <w:tc>
          <w:tcPr>
            <w:tcW w:type="dxa" w:w="2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483 000 €</w:t>
            </w:r>
          </w:p>
        </w:tc>
      </w:tr>
      <w:tr>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Revenus récurrents cumulés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353 808 €</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1 417 338 €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3 460 920 €</w:t>
            </w:r>
          </w:p>
        </w:tc>
      </w:tr>
      <w:tr>
        <w:tc>
          <w:tcPr>
            <w:tcW w:type="dxa" w:w="26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Revenus totaux (MRR + Setup)</w:t>
            </w:r>
          </w:p>
        </w:tc>
        <w:tc>
          <w:tcPr>
            <w:tcW w:type="dxa" w:w="2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486 808 €</w:t>
            </w:r>
          </w:p>
        </w:tc>
        <w:tc>
          <w:tcPr>
            <w:tcW w:type="dxa" w:w="2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1 679 138 €</w:t>
            </w:r>
          </w:p>
        </w:tc>
        <w:tc>
          <w:tcPr>
            <w:tcW w:type="dxa" w:w="2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3 943 920 €</w:t>
            </w:r>
          </w:p>
        </w:tc>
      </w:tr>
      <w:tr>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Charges fixes annuelles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36 000 €</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72 000 €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144 000 €</w:t>
            </w:r>
          </w:p>
        </w:tc>
      </w:tr>
      <w:tr>
        <w:tc>
          <w:tcPr>
            <w:tcW w:type="dxa" w:w="26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COGS estimé (7% MRR)</w:t>
            </w:r>
          </w:p>
        </w:tc>
        <w:tc>
          <w:tcPr>
            <w:tcW w:type="dxa" w:w="2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24 767 €</w:t>
            </w:r>
          </w:p>
        </w:tc>
        <w:tc>
          <w:tcPr>
            <w:tcW w:type="dxa" w:w="2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99 214 €</w:t>
            </w:r>
          </w:p>
        </w:tc>
        <w:tc>
          <w:tcPr>
            <w:tcW w:type="dxa" w:w="2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242 264 €</w:t>
            </w:r>
          </w:p>
        </w:tc>
      </w:tr>
      <w:tr>
        <w:tc>
          <w:tcPr>
            <w:tcW w:type="dxa" w:w="262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Marge nette estimée</w:t>
            </w:r>
          </w:p>
        </w:tc>
        <w:tc>
          <w:tcPr>
            <w:tcW w:type="dxa" w:w="21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426 041 €</w:t>
            </w:r>
          </w:p>
        </w:tc>
        <w:tc>
          <w:tcPr>
            <w:tcW w:type="dxa" w:w="21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1 507 924 €</w:t>
            </w:r>
          </w:p>
        </w:tc>
        <w:tc>
          <w:tcPr>
            <w:tcW w:type="dxa" w:w="2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3 557 656 €</w:t>
            </w:r>
          </w:p>
        </w:tc>
      </w:tr>
    </w:tbl>
    <w:p>
      <w:pPr>
        <w:pStyle w:val="Heading2"/>
        <w:spacing w:after="80" w:before="220"/>
      </w:pPr>
      <w:r>
        <w:rPr>
          <w:rFonts w:ascii="Arial" w:cs="Arial" w:eastAsia="Arial" w:hAnsi="Arial"/>
          <w:b/>
          <w:bCs/>
          <w:color w:val="1A3550"/>
          <w:sz w:val="28"/>
          <w:szCs w:val="28"/>
        </w:rPr>
        <w:t xml:space="preserve">3.2 Évolution Mensuelle du MRR — Année 1 (Détail)</w:t>
      </w:r>
    </w:p>
    <w:p>
      <w:pPr>
        <w:spacing w:after="100" w:before="60"/>
        <w:jc w:val="both"/>
      </w:pPr>
      <w:r>
        <w:rPr>
          <w:rFonts w:ascii="Arial" w:cs="Arial" w:eastAsia="Arial" w:hAnsi="Arial"/>
          <w:color w:val="1A1A2E"/>
          <w:sz w:val="22"/>
          <w:szCs w:val="22"/>
        </w:rPr>
        <w:t xml:space="preserve">Tableau de ramp-up mensuel détaillé pour l'Année 1, illustrant l'acquisition progressive et l'effet boule de neige du modèle de revenus récurrents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6"/>
        <w:gridCol w:w="1300"/>
        <w:gridCol w:w="1300"/>
        <w:gridCol w:w="1500"/>
        <w:gridCol w:w="1800"/>
        <w:gridCol w:w="2000"/>
      </w:tblGrid>
      <w:tr>
        <w:trPr>
          <w:tblHeader/>
        </w:trPr>
        <w:tc>
          <w:tcPr>
            <w:tcW w:type="dxa" w:w="112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Mois</w:t>
            </w:r>
          </w:p>
        </w:tc>
        <w:tc>
          <w:tcPr>
            <w:tcW w:type="dxa" w:w="13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Nvx clients</w:t>
            </w:r>
          </w:p>
        </w:tc>
        <w:tc>
          <w:tcPr>
            <w:tcW w:type="dxa" w:w="13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Clients total</w:t>
            </w:r>
          </w:p>
        </w:tc>
        <w:tc>
          <w:tcPr>
            <w:tcW w:type="dxa" w:w="15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MRR (€)</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Setup fees (€)</w:t>
            </w:r>
          </w:p>
        </w:tc>
        <w:tc>
          <w:tcPr>
            <w:tcW w:type="dxa" w:w="20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Rev. mensuel (€)</w:t>
            </w:r>
          </w:p>
        </w:tc>
      </w:tr>
      <w:tr>
        <w:tc>
          <w:tcPr>
            <w:tcW w:type="dxa" w:w="11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1</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3 510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7 000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10 510</w:t>
            </w:r>
          </w:p>
        </w:tc>
      </w:tr>
      <w:tr>
        <w:tc>
          <w:tcPr>
            <w:tcW w:type="dxa" w:w="11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2</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w:t>
            </w:r>
          </w:p>
        </w:tc>
        <w:tc>
          <w:tcPr>
            <w:tcW w:type="dxa" w:w="15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7 722</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8 400</w:t>
            </w:r>
          </w:p>
        </w:tc>
        <w:tc>
          <w:tcPr>
            <w:tcW w:type="dxa" w:w="20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16 122</w:t>
            </w:r>
          </w:p>
        </w:tc>
      </w:tr>
      <w:tr>
        <w:tc>
          <w:tcPr>
            <w:tcW w:type="dxa" w:w="11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3</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11 934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8 400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20 334</w:t>
            </w:r>
          </w:p>
        </w:tc>
      </w:tr>
      <w:tr>
        <w:tc>
          <w:tcPr>
            <w:tcW w:type="dxa" w:w="11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4</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24</w:t>
            </w:r>
          </w:p>
        </w:tc>
        <w:tc>
          <w:tcPr>
            <w:tcW w:type="dxa" w:w="15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16 848</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9 800</w:t>
            </w:r>
          </w:p>
        </w:tc>
        <w:tc>
          <w:tcPr>
            <w:tcW w:type="dxa" w:w="20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26 648</w:t>
            </w:r>
          </w:p>
        </w:tc>
      </w:tr>
      <w:tr>
        <w:tc>
          <w:tcPr>
            <w:tcW w:type="dxa" w:w="11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5</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21 060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9 800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30 860</w:t>
            </w:r>
          </w:p>
        </w:tc>
      </w:tr>
      <w:tr>
        <w:tc>
          <w:tcPr>
            <w:tcW w:type="dxa" w:w="11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6</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37</w:t>
            </w:r>
          </w:p>
        </w:tc>
        <w:tc>
          <w:tcPr>
            <w:tcW w:type="dxa" w:w="15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25 974</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11 200</w:t>
            </w:r>
          </w:p>
        </w:tc>
        <w:tc>
          <w:tcPr>
            <w:tcW w:type="dxa" w:w="20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37 174</w:t>
            </w:r>
          </w:p>
        </w:tc>
      </w:tr>
      <w:tr>
        <w:tc>
          <w:tcPr>
            <w:tcW w:type="dxa" w:w="11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7</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44</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30 888</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11 200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42 088</w:t>
            </w:r>
          </w:p>
        </w:tc>
      </w:tr>
      <w:tr>
        <w:tc>
          <w:tcPr>
            <w:tcW w:type="dxa" w:w="11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8</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52</w:t>
            </w:r>
          </w:p>
        </w:tc>
        <w:tc>
          <w:tcPr>
            <w:tcW w:type="dxa" w:w="15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36 504</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12 600</w:t>
            </w:r>
          </w:p>
        </w:tc>
        <w:tc>
          <w:tcPr>
            <w:tcW w:type="dxa" w:w="20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49 104</w:t>
            </w:r>
          </w:p>
        </w:tc>
      </w:tr>
      <w:tr>
        <w:tc>
          <w:tcPr>
            <w:tcW w:type="dxa" w:w="11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9</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41 418</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12 600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54 018</w:t>
            </w:r>
          </w:p>
        </w:tc>
      </w:tr>
      <w:tr>
        <w:tc>
          <w:tcPr>
            <w:tcW w:type="dxa" w:w="11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10</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67</w:t>
            </w:r>
          </w:p>
        </w:tc>
        <w:tc>
          <w:tcPr>
            <w:tcW w:type="dxa" w:w="15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47 034</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14 000</w:t>
            </w:r>
          </w:p>
        </w:tc>
        <w:tc>
          <w:tcPr>
            <w:tcW w:type="dxa" w:w="20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61 034</w:t>
            </w:r>
          </w:p>
        </w:tc>
      </w:tr>
      <w:tr>
        <w:tc>
          <w:tcPr>
            <w:tcW w:type="dxa" w:w="11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11</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75</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52 650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14 000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66 650</w:t>
            </w:r>
          </w:p>
        </w:tc>
      </w:tr>
      <w:tr>
        <w:tc>
          <w:tcPr>
            <w:tcW w:type="dxa" w:w="11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12</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83</w:t>
            </w:r>
          </w:p>
        </w:tc>
        <w:tc>
          <w:tcPr>
            <w:tcW w:type="dxa" w:w="15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58 266</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14 000</w:t>
            </w:r>
          </w:p>
        </w:tc>
        <w:tc>
          <w:tcPr>
            <w:tcW w:type="dxa" w:w="20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72 266</w:t>
            </w:r>
          </w:p>
        </w:tc>
      </w:tr>
    </w:tbl>
    <w:p>
      <w:pPr>
        <w:pStyle w:val="Heading2"/>
        <w:spacing w:after="80" w:before="220"/>
      </w:pPr>
      <w:r>
        <w:rPr>
          <w:rFonts w:ascii="Arial" w:cs="Arial" w:eastAsia="Arial" w:hAnsi="Arial"/>
          <w:b/>
          <w:bCs/>
          <w:color w:val="1A3550"/>
          <w:sz w:val="28"/>
          <w:szCs w:val="28"/>
        </w:rPr>
        <w:t xml:space="preserve">3.3 Point Mort (Seuil de Rentabilité)</w:t>
      </w:r>
    </w:p>
    <w:p>
      <w:pPr>
        <w:spacing w:after="100" w:before="60"/>
        <w:jc w:val="both"/>
      </w:pPr>
      <w:r>
        <w:rPr>
          <w:rFonts w:ascii="Arial" w:cs="Arial" w:eastAsia="Arial" w:hAnsi="Arial"/>
          <w:color w:val="1A1A2E"/>
          <w:sz w:val="22"/>
          <w:szCs w:val="22"/>
        </w:rPr>
        <w:t xml:space="preserve">Avec des charges fixes bootstrappées de 3 000 €/mois en An1 et un ARPU moyen de 702 € générant une marge de contribution de ~93 % (après COGS de 7 %), le seuil de rentabilité opérationnel est atteint dès le Mois 1, à partir de 5 clients actifs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626"/>
        <w:gridCol w:w="1900"/>
      </w:tblGrid>
      <w:tr>
        <w:trPr>
          <w:tblHeader/>
        </w:trPr>
        <w:tc>
          <w:tcPr>
            <w:tcW w:type="dxa" w:w="23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Scénario</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Charges fixes/mois</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ARPU moyen</w:t>
            </w:r>
          </w:p>
        </w:tc>
        <w:tc>
          <w:tcPr>
            <w:tcW w:type="dxa" w:w="162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Clients nécessaires</w:t>
            </w:r>
          </w:p>
        </w:tc>
        <w:tc>
          <w:tcPr>
            <w:tcW w:type="dxa" w:w="19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Mois de break-even</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Bootstrapping An1 (solo)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3 000 €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702 €</w:t>
            </w:r>
          </w:p>
        </w:tc>
        <w:tc>
          <w:tcPr>
            <w:tcW w:type="dxa" w:w="1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clients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1</w:t>
            </w:r>
          </w:p>
        </w:tc>
      </w:tr>
      <w:tr>
        <w:tc>
          <w:tcPr>
            <w:tcW w:type="dxa" w:w="2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Scale An2 (1 salarié partiel)</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6 000 €</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702 €</w:t>
            </w:r>
          </w:p>
        </w:tc>
        <w:tc>
          <w:tcPr>
            <w:tcW w:type="dxa" w:w="16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10 clients</w:t>
            </w:r>
          </w:p>
        </w:tc>
        <w:tc>
          <w:tcPr>
            <w:tcW w:type="dxa" w:w="19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13</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Growth An3 (équipe 2-3)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12 000 €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702 €</w:t>
            </w:r>
          </w:p>
        </w:tc>
        <w:tc>
          <w:tcPr>
            <w:tcW w:type="dxa" w:w="1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19 clients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Mois 26</w:t>
            </w:r>
          </w:p>
        </w:tc>
      </w:tr>
    </w:tbl>
    <w:p>
      <w:pPr>
        <w:spacing w:after="100" w:before="120"/>
        <w:jc w:val="both"/>
      </w:pPr>
      <w:r>
        <w:rPr>
          <w:rFonts w:ascii="Arial" w:cs="Arial" w:eastAsia="Arial" w:hAnsi="Arial"/>
          <w:color w:val="1A1A2E"/>
          <w:sz w:val="22"/>
          <w:szCs w:val="22"/>
        </w:rPr>
        <w:t xml:space="preserve">Note : les setup fees perçus dès la signature de chaque client (moyenne 1 400 €) permettent de couvrir le CAC cible de 200–350 € dès J+1, sans jamais puiser dans la trésorerie d'exploitation. Ce mécanisme est la clé du modèle bootstrapped de César-IA.</w:t>
      </w:r>
    </w:p>
    <w:p>
      <w:pPr>
        <w:pStyle w:val="Heading2"/>
        <w:spacing w:after="80" w:before="220"/>
      </w:pPr>
      <w:r>
        <w:rPr>
          <w:rFonts w:ascii="Arial" w:cs="Arial" w:eastAsia="Arial" w:hAnsi="Arial"/>
          <w:b/>
          <w:bCs/>
          <w:color w:val="1A3550"/>
          <w:sz w:val="28"/>
          <w:szCs w:val="28"/>
        </w:rPr>
        <w:t xml:space="preserve">3.4 Projections MRR &amp; ARR — Courbe de Croissance (Mois 1 → 36)</w:t>
      </w:r>
    </w:p>
    <w:p>
      <w:pPr>
        <w:spacing w:after="100" w:before="60"/>
        <w:jc w:val="both"/>
      </w:pPr>
      <w:r>
        <w:rPr>
          <w:rFonts w:ascii="Arial" w:cs="Arial" w:eastAsia="Arial" w:hAnsi="Arial"/>
          <w:color w:val="1A1A2E"/>
          <w:sz w:val="22"/>
          <w:szCs w:val="22"/>
        </w:rPr>
        <w:t xml:space="preserve">La projection sur 36 mois illustre une croissance régulière, sans hockey-stick artificiel, reposant uniquement sur des acquisitions organiques et des partenariats intégrateurs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800"/>
        <w:gridCol w:w="1800"/>
        <w:gridCol w:w="2626"/>
      </w:tblGrid>
      <w:tr>
        <w:trPr>
          <w:tblHeader/>
        </w:trPr>
        <w:tc>
          <w:tcPr>
            <w:tcW w:type="dxa" w:w="15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Période</w:t>
            </w:r>
          </w:p>
        </w:tc>
        <w:tc>
          <w:tcPr>
            <w:tcW w:type="dxa" w:w="13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Clients</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MRR fin (€)</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ARR fin (€)</w:t>
            </w:r>
          </w:p>
        </w:tc>
        <w:tc>
          <w:tcPr>
            <w:tcW w:type="dxa" w:w="262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Rev. cumulé total (€)</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T1 An1 (M1-M3)</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11 934</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143 208</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46 966</w:t>
            </w:r>
          </w:p>
        </w:tc>
      </w:tr>
      <w:tr>
        <w:tc>
          <w:tcPr>
            <w:tcW w:type="dxa" w:w="15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T2 An1 (M4-M6)</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37</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25 974</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311 688</w:t>
            </w:r>
          </w:p>
        </w:tc>
        <w:tc>
          <w:tcPr>
            <w:tcW w:type="dxa" w:w="26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94 682</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T3 An1 (M7-M9)</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41 418</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497 016</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145 210</w:t>
            </w:r>
          </w:p>
        </w:tc>
      </w:tr>
      <w:tr>
        <w:tc>
          <w:tcPr>
            <w:tcW w:type="dxa" w:w="15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T4 An1 (M10-M12)</w:t>
            </w:r>
          </w:p>
        </w:tc>
        <w:tc>
          <w:tcPr>
            <w:tcW w:type="dxa" w:w="13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83</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58 266</w:t>
            </w:r>
          </w:p>
        </w:tc>
        <w:tc>
          <w:tcPr>
            <w:tcW w:type="dxa" w:w="18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699 192</w:t>
            </w:r>
          </w:p>
        </w:tc>
        <w:tc>
          <w:tcPr>
            <w:tcW w:type="dxa" w:w="26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199 950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T4 An2 (M24)</w:t>
            </w:r>
          </w:p>
        </w:tc>
        <w:tc>
          <w:tcPr>
            <w:tcW w:type="dxa" w:w="1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253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177 606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2 131 272</w:t>
            </w:r>
          </w:p>
        </w:tc>
        <w:tc>
          <w:tcPr>
            <w:tcW w:type="dxa" w:w="26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1 679 138</w:t>
            </w:r>
          </w:p>
        </w:tc>
      </w:tr>
      <w:tr>
        <w:tc>
          <w:tcPr>
            <w:tcW w:type="dxa" w:w="15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T4 An3 (M36)</w:t>
            </w:r>
          </w:p>
        </w:tc>
        <w:tc>
          <w:tcPr>
            <w:tcW w:type="dxa" w:w="13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567</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398 034 €</w:t>
            </w:r>
          </w:p>
        </w:tc>
        <w:tc>
          <w:tcPr>
            <w:tcW w:type="dxa" w:w="18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4 776 408 €</w:t>
            </w:r>
          </w:p>
        </w:tc>
        <w:tc>
          <w:tcPr>
            <w:tcW w:type="dxa" w:w="262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left"/>
            </w:pPr>
            <w:r>
              <w:rPr>
                <w:rFonts w:ascii="Arial" w:cs="Arial" w:eastAsia="Arial" w:hAnsi="Arial"/>
                <w:b/>
                <w:bCs/>
                <w:color w:val="B8860B"/>
                <w:sz w:val="20"/>
                <w:szCs w:val="20"/>
              </w:rPr>
              <w:t xml:space="preserve">3 943 920 €</w:t>
            </w:r>
          </w:p>
        </w:tc>
      </w:tr>
    </w:tbl>
    <w:p>
      <w:pPr>
        <w:spacing w:after="60" w:before="240"/>
        <w:jc w:val="center"/>
      </w:pPr>
      <w:r>
        <w:rPr>
          <w:rFonts w:ascii="Arial" w:cs="Arial" w:eastAsia="Arial" w:hAnsi="Arial"/>
          <w:i/>
          <w:iCs/>
          <w:color w:val="6B7280"/>
          <w:sz w:val="18"/>
          <w:szCs w:val="18"/>
        </w:rPr>
        <w:t xml:space="preserve">Toutes projections sont indicatives et basées sur les hypothèses décrites en section 3.1. Elles ne constituent pas une garantie de performance.</w:t>
      </w:r>
    </w:p>
    <w:p>
      <w:r>
        <w:br w:type="page"/>
      </w:r>
    </w:p>
    <w:p>
      <w:pPr>
        <w:pStyle w:val="Heading1"/>
        <w:spacing w:after="100" w:before="320"/>
      </w:pPr>
      <w:r>
        <w:rPr>
          <w:rFonts w:ascii="Arial" w:cs="Arial" w:eastAsia="Arial" w:hAnsi="Arial"/>
          <w:b/>
          <w:bCs/>
          <w:color w:val="0D1B2A"/>
          <w:sz w:val="36"/>
          <w:szCs w:val="36"/>
        </w:rPr>
        <w:t xml:space="preserve">Annexe — Catalogue des 15 Agents César-IA</w:t>
      </w:r>
    </w:p>
    <w:p>
      <w:pPr>
        <w:pBdr>
          <w:bottom w:val="single" w:color="0D1B2A" w:sz="8" w:space="1"/>
        </w:pBdr>
        <w:spacing w:after="40" w:before="40"/>
      </w:pPr>
    </w:p>
    <w:p>
      <w:pPr>
        <w:spacing w:after="100" w:before="60"/>
        <w:jc w:val="both"/>
      </w:pPr>
      <w:r>
        <w:rPr>
          <w:rFonts w:ascii="Arial" w:cs="Arial" w:eastAsia="Arial" w:hAnsi="Arial"/>
          <w:color w:val="1A1A2E"/>
          <w:sz w:val="22"/>
          <w:szCs w:val="22"/>
        </w:rPr>
        <w:t xml:space="preserve">Tableau de référence complet du catalogue d'agents, de leurs rôles, niveaux tarifaires et connecteurs principaux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900"/>
        <w:gridCol w:w="1200"/>
        <w:gridCol w:w="1200"/>
        <w:gridCol w:w="3026"/>
      </w:tblGrid>
      <w:tr>
        <w:trPr>
          <w:tblHeader/>
        </w:trPr>
        <w:tc>
          <w:tcPr>
            <w:tcW w:type="dxa" w:w="11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Agent</w:t>
            </w:r>
          </w:p>
        </w:tc>
        <w:tc>
          <w:tcPr>
            <w:tcW w:type="dxa" w:w="16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Rôle</w:t>
            </w:r>
          </w:p>
        </w:tc>
        <w:tc>
          <w:tcPr>
            <w:tcW w:type="dxa" w:w="9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Tier</w:t>
            </w:r>
          </w:p>
        </w:tc>
        <w:tc>
          <w:tcPr>
            <w:tcW w:type="dxa" w:w="1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Mensualité</w:t>
            </w:r>
          </w:p>
        </w:tc>
        <w:tc>
          <w:tcPr>
            <w:tcW w:type="dxa" w:w="1200"/>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Setup</w:t>
            </w:r>
          </w:p>
        </w:tc>
        <w:tc>
          <w:tcPr>
            <w:tcW w:type="dxa" w:w="3026"/>
            <w:tcBorders>
              <w:top w:val="single" w:color="CBD5E1" w:sz="1"/>
              <w:left w:val="single" w:color="CBD5E1" w:sz="1"/>
              <w:bottom w:val="single" w:color="CBD5E1" w:sz="1"/>
              <w:right w:val="single" w:color="CBD5E1" w:sz="1"/>
            </w:tcBorders>
            <w:shd w:fill="0D1B2A" w:val="clear"/>
            <w:tcMar>
              <w:top w:type="dxa" w:w="80"/>
              <w:left w:type="dxa" w:w="120"/>
              <w:bottom w:type="dxa" w:w="80"/>
              <w:right w:type="dxa" w:w="120"/>
            </w:tcMar>
            <w:vAlign w:val="center"/>
          </w:tcPr>
          <w:p>
            <w:pPr>
              <w:jc w:val="center"/>
            </w:pPr>
            <w:r>
              <w:rPr>
                <w:rFonts w:ascii="Arial" w:cs="Arial" w:eastAsia="Arial" w:hAnsi="Arial"/>
                <w:b/>
                <w:bCs/>
                <w:color w:val="B8860B"/>
                <w:sz w:val="20"/>
                <w:szCs w:val="20"/>
              </w:rPr>
              <w:t xml:space="preserve">Connecteurs principaux</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Chronos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CM &amp; Réseaux Sociaux</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149 €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500 €</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LinkedIn, X/Twitter, Brevo, Buffer</w:t>
            </w:r>
          </w:p>
        </w:tc>
      </w:tr>
      <w:tr>
        <w:tc>
          <w:tcPr>
            <w:tcW w:type="dxa" w:w="1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Apollo</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Prospection B2B &amp; Mailing</w:t>
            </w:r>
          </w:p>
        </w:tc>
        <w:tc>
          <w:tcPr>
            <w:tcW w:type="dxa" w:w="9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Starter</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149 €</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500 €</w:t>
            </w:r>
          </w:p>
        </w:tc>
        <w:tc>
          <w:tcPr>
            <w:tcW w:type="dxa" w:w="30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Hunter.io, HubSpot, Gmail, Webhooks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Nemesis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Juridique &amp; Conformité</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149 €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500 €</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Notion, Google Drive, DocuSign</w:t>
            </w:r>
          </w:p>
        </w:tc>
      </w:tr>
      <w:tr>
        <w:tc>
          <w:tcPr>
            <w:tcW w:type="dxa" w:w="1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Iris</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Traducteur &amp; Localisation</w:t>
            </w:r>
          </w:p>
        </w:tc>
        <w:tc>
          <w:tcPr>
            <w:tcW w:type="dxa" w:w="9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Starter</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149 €</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500 €</w:t>
            </w:r>
          </w:p>
        </w:tc>
        <w:tc>
          <w:tcPr>
            <w:tcW w:type="dxa" w:w="30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 WordPress, Crowdin</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Sybil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Analyste de Données &amp; BI</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299 €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1 500 €</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SQL Server, PostgreSQL, BigQuery, Excel</w:t>
            </w:r>
          </w:p>
        </w:tc>
      </w:tr>
      <w:tr>
        <w:tc>
          <w:tcPr>
            <w:tcW w:type="dxa" w:w="1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Hermes</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Rédacteur Web &amp; SEO</w:t>
            </w:r>
          </w:p>
        </w:tc>
        <w:tc>
          <w:tcPr>
            <w:tcW w:type="dxa" w:w="9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299 €</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1 500 €</w:t>
            </w:r>
          </w:p>
        </w:tc>
        <w:tc>
          <w:tcPr>
            <w:tcW w:type="dxa" w:w="30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WordPress, Webflow, Semrush, Notion</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Hestia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Support Client Autonome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299 €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1 500 €</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Crisp, Zendesk, Intercom, Slack</w:t>
            </w:r>
          </w:p>
        </w:tc>
      </w:tr>
      <w:tr>
        <w:tc>
          <w:tcPr>
            <w:tcW w:type="dxa" w:w="1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Vesta</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Secrétariat &amp; RH</w:t>
            </w:r>
          </w:p>
        </w:tc>
        <w:tc>
          <w:tcPr>
            <w:tcW w:type="dxa" w:w="9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299 €</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1 500 €</w:t>
            </w:r>
          </w:p>
        </w:tc>
        <w:tc>
          <w:tcPr>
            <w:tcW w:type="dxa" w:w="30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Calendar, Airtable, Notion</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Athena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Recherche Académique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299 €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1 500 €</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Google Scholar, arXiv, Zotero</w:t>
            </w:r>
          </w:p>
        </w:tc>
      </w:tr>
      <w:tr>
        <w:tc>
          <w:tcPr>
            <w:tcW w:type="dxa" w:w="1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Demeter</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Contrôle de Gestion</w:t>
            </w:r>
          </w:p>
        </w:tc>
        <w:tc>
          <w:tcPr>
            <w:tcW w:type="dxa" w:w="9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299 €</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1 500 €</w:t>
            </w:r>
          </w:p>
        </w:tc>
        <w:tc>
          <w:tcPr>
            <w:tcW w:type="dxa" w:w="30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Stripe, Qonto, Pennylane, QuickBooks</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Janus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Modérateur &amp; RP</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299 €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1 500 €</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Trustpilot, Google Reviews, Crisp</w:t>
            </w:r>
          </w:p>
        </w:tc>
      </w:tr>
      <w:tr>
        <w:tc>
          <w:tcPr>
            <w:tcW w:type="dxa" w:w="1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Atlas</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DevOps &amp; Admin Système</w:t>
            </w:r>
          </w:p>
        </w:tc>
        <w:tc>
          <w:tcPr>
            <w:tcW w:type="dxa" w:w="9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Business</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599 €</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3 000 €</w:t>
            </w:r>
          </w:p>
        </w:tc>
        <w:tc>
          <w:tcPr>
            <w:tcW w:type="dxa" w:w="30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SSH, AWS, Docker, Kubernetes, Sentry</w:t>
            </w:r>
          </w:p>
        </w:tc>
      </w:tr>
      <w:tr>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Ares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Cybersécurité &amp; Audit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Business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599 €</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3 000 €</w:t>
            </w:r>
          </w:p>
        </w:tc>
        <w:tc>
          <w:tcPr>
            <w:tcW w:type="dxa" w:w="302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GitHub Actions, GitLab CI/CD, SonarQube</w:t>
            </w:r>
          </w:p>
        </w:tc>
      </w:tr>
      <w:tr>
        <w:tc>
          <w:tcPr>
            <w:tcW w:type="dxa" w:w="11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Hephaestus</w:t>
            </w:r>
          </w:p>
        </w:tc>
        <w:tc>
          <w:tcPr>
            <w:tcW w:type="dxa" w:w="16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Automatisation &amp; Webhook</w:t>
            </w:r>
          </w:p>
        </w:tc>
        <w:tc>
          <w:tcPr>
            <w:tcW w:type="dxa" w:w="9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Business</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599 €</w:t>
            </w:r>
          </w:p>
        </w:tc>
        <w:tc>
          <w:tcPr>
            <w:tcW w:type="dxa" w:w="1200"/>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3 000 €</w:t>
            </w:r>
          </w:p>
        </w:tc>
        <w:tc>
          <w:tcPr>
            <w:tcW w:type="dxa" w:w="3026"/>
            <w:tcBorders>
              <w:top w:val="single" w:color="CBD5E1" w:sz="1"/>
              <w:left w:val="single" w:color="CBD5E1" w:sz="1"/>
              <w:bottom w:val="single" w:color="CBD5E1" w:sz="1"/>
              <w:right w:val="single" w:color="CBD5E1" w:sz="1"/>
            </w:tcBorders>
            <w:shd w:fill="F3F5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n8n, Make, Zapier, Webhooks</w:t>
            </w:r>
          </w:p>
        </w:tc>
      </w:tr>
      <w:tr>
        <w:tc>
          <w:tcPr>
            <w:tcW w:type="dxa" w:w="1100"/>
            <w:tcBorders>
              <w:top w:val="single" w:color="CBD5E1" w:sz="1"/>
              <w:left w:val="single" w:color="CBD5E1" w:sz="1"/>
              <w:bottom w:val="single" w:color="CBD5E1" w:sz="1"/>
              <w:right w:val="single" w:color="CBD5E1" w:sz="1"/>
            </w:tcBorders>
            <w:shd w:fill="FFF3CD"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Zeus</w:t>
            </w:r>
          </w:p>
        </w:tc>
        <w:tc>
          <w:tcPr>
            <w:tcW w:type="dxa" w:w="1600"/>
            <w:tcBorders>
              <w:top w:val="single" w:color="CBD5E1" w:sz="1"/>
              <w:left w:val="single" w:color="CBD5E1" w:sz="1"/>
              <w:bottom w:val="single" w:color="CBD5E1" w:sz="1"/>
              <w:right w:val="single" w:color="CBD5E1" w:sz="1"/>
            </w:tcBorders>
            <w:shd w:fill="FFF3CD"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Superviseur de Flotte</w:t>
            </w:r>
          </w:p>
        </w:tc>
        <w:tc>
          <w:tcPr>
            <w:tcW w:type="dxa" w:w="900"/>
            <w:tcBorders>
              <w:top w:val="single" w:color="CBD5E1" w:sz="1"/>
              <w:left w:val="single" w:color="CBD5E1" w:sz="1"/>
              <w:bottom w:val="single" w:color="CBD5E1" w:sz="1"/>
              <w:right w:val="single" w:color="CBD5E1" w:sz="1"/>
            </w:tcBorders>
            <w:shd w:fill="FFF3CD" w:val="clear"/>
            <w:tcMar>
              <w:top w:type="dxa" w:w="80"/>
              <w:left w:type="dxa" w:w="120"/>
              <w:bottom w:type="dxa" w:w="80"/>
              <w:right w:type="dxa" w:w="120"/>
            </w:tcMar>
            <w:vAlign w:val="center"/>
          </w:tcPr>
          <w:p>
            <w:pPr>
              <w:jc w:val="center"/>
            </w:pPr>
            <w:r>
              <w:rPr>
                <w:rFonts w:ascii="Arial" w:cs="Arial" w:eastAsia="Arial" w:hAnsi="Arial"/>
                <w:b/>
                <w:bCs/>
                <w:color w:val="0D1B2A"/>
                <w:sz w:val="20"/>
                <w:szCs w:val="20"/>
              </w:rPr>
              <w:t xml:space="preserve">Enterprise</w:t>
            </w:r>
          </w:p>
        </w:tc>
        <w:tc>
          <w:tcPr>
            <w:tcW w:type="dxa" w:w="1200"/>
            <w:tcBorders>
              <w:top w:val="single" w:color="CBD5E1" w:sz="1"/>
              <w:left w:val="single" w:color="CBD5E1" w:sz="1"/>
              <w:bottom w:val="single" w:color="CBD5E1" w:sz="1"/>
              <w:right w:val="single" w:color="CBD5E1" w:sz="1"/>
            </w:tcBorders>
            <w:shd w:fill="FFF3CD"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Sur devis</w:t>
            </w:r>
          </w:p>
        </w:tc>
        <w:tc>
          <w:tcPr>
            <w:tcW w:type="dxa" w:w="1200"/>
            <w:tcBorders>
              <w:top w:val="single" w:color="CBD5E1" w:sz="1"/>
              <w:left w:val="single" w:color="CBD5E1" w:sz="1"/>
              <w:bottom w:val="single" w:color="CBD5E1" w:sz="1"/>
              <w:right w:val="single" w:color="CBD5E1" w:sz="1"/>
            </w:tcBorders>
            <w:shd w:fill="FFF3CD"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Sur devis</w:t>
            </w:r>
          </w:p>
        </w:tc>
        <w:tc>
          <w:tcPr>
            <w:tcW w:type="dxa" w:w="3026"/>
            <w:tcBorders>
              <w:top w:val="single" w:color="CBD5E1" w:sz="1"/>
              <w:left w:val="single" w:color="CBD5E1" w:sz="1"/>
              <w:bottom w:val="single" w:color="CBD5E1" w:sz="1"/>
              <w:right w:val="single" w:color="CBD5E1" w:sz="1"/>
            </w:tcBorders>
            <w:shd w:fill="FFF3CD" w:val="clear"/>
            <w:tcMar>
              <w:top w:type="dxa" w:w="80"/>
              <w:left w:type="dxa" w:w="120"/>
              <w:bottom w:type="dxa" w:w="80"/>
              <w:right w:type="dxa" w:w="120"/>
            </w:tcMar>
            <w:vAlign w:val="center"/>
          </w:tcPr>
          <w:p>
            <w:pPr>
              <w:jc w:val="left"/>
            </w:pPr>
            <w:r>
              <w:rPr>
                <w:rFonts w:ascii="Arial" w:cs="Arial" w:eastAsia="Arial" w:hAnsi="Arial"/>
                <w:b/>
                <w:bCs/>
                <w:color w:val="0D1B2A"/>
                <w:sz w:val="20"/>
                <w:szCs w:val="20"/>
              </w:rPr>
              <w:t xml:space="preserve">Intégration sur-mesure SI interne</w:t>
            </w:r>
          </w:p>
        </w:tc>
      </w:tr>
    </w:tbl>
    <w:p>
      <w:pPr>
        <w:spacing w:after="60" w:before="400"/>
        <w:jc w:val="center"/>
      </w:pPr>
      <w:r>
        <w:rPr>
          <w:rFonts w:ascii="Arial" w:cs="Arial" w:eastAsia="Arial" w:hAnsi="Arial"/>
          <w:i/>
          <w:iCs/>
          <w:color w:val="6B7280"/>
          <w:sz w:val="20"/>
          <w:szCs w:val="20"/>
        </w:rPr>
        <w:t xml:space="preserve">— Fin du document César-IA Business Plan v1.0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38"/>
      </w:tabs>
      <w:spacing w:before="80"/>
    </w:pPr>
    <w:r>
      <w:rPr>
        <w:rFonts w:ascii="Arial" w:cs="Arial" w:eastAsia="Arial" w:hAnsi="Arial"/>
        <w:color w:val="6B7280"/>
        <w:sz w:val="18"/>
        <w:szCs w:val="18"/>
      </w:rPr>
      <w:t xml:space="preserve">© César-IA 2026 — Document confidentiel</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tabs>
        <w:tab w:val="right" w:pos="9638"/>
      </w:tabs>
      <w:spacing w:after="80"/>
    </w:pPr>
    <w:r>
      <w:rPr>
        <w:rFonts w:ascii="Arial" w:cs="Arial" w:eastAsia="Arial" w:hAnsi="Arial"/>
        <w:b/>
        <w:bCs/>
        <w:color w:val="0D1B2A"/>
        <w:sz w:val="18"/>
        <w:szCs w:val="18"/>
      </w:rPr>
      <w:t xml:space="preserve">CÉSAR-IA — Workforce AI OS</w:t>
    </w:r>
    <w:r>
      <w:rPr>
        <w:rFonts w:ascii="Arial" w:cs="Arial" w:eastAsia="Arial" w:hAnsi="Arial"/>
        <w:sz w:val="18"/>
        <w:szCs w:val="18"/>
      </w:rPr>
      <w:t xml:space="preserve">	</w:t>
    </w:r>
    <w:r>
      <w:rPr>
        <w:rFonts w:ascii="Arial" w:cs="Arial" w:eastAsia="Arial" w:hAnsi="Arial"/>
        <w:color w:val="6B7280"/>
        <w:sz w:val="18"/>
        <w:szCs w:val="18"/>
      </w:rPr>
      <w:t xml:space="preserve">Business Plan Confidentiel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80" w:before="220"/>
      <w:outlineLvl w:val="1"/>
    </w:pPr>
    <w:rPr>
      <w:rFonts w:ascii="Arial" w:cs="Arial" w:eastAsia="Arial" w:hAnsi="Arial"/>
      <w:b/>
      <w:bCs/>
      <w:color w:val="1A35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2026-05-28T10:44:08.160Z</dcterms:created>
  <dcterms:modified xsi:type="dcterms:W3CDTF">2026-05-28T10:44:08.160Z</dcterms:modified>
</cp:coreProperties>
</file>

<file path=docProps/custom.xml><?xml version="1.0" encoding="utf-8"?>
<Properties xmlns="http://schemas.openxmlformats.org/officeDocument/2006/custom-properties" xmlns:vt="http://schemas.openxmlformats.org/officeDocument/2006/docPropsVTypes"/>
</file>