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11111" w:val="clear"/>
        <w:spacing w:after="0" w:before="0"/>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spacing w:after="0" w:before="200"/>
        <w:jc w:val="center"/>
      </w:pPr>
      <w:r>
        <w:rPr>
          <w:rFonts w:ascii="Calibri" w:cs="Calibri" w:eastAsia="Calibri" w:hAnsi="Calibri"/>
          <w:b/>
          <w:bCs/>
          <w:color w:val="F5C400"/>
          <w:spacing w:val="30"/>
          <w:sz w:val="26"/>
          <w:szCs w:val="26"/>
        </w:rPr>
        <w:t xml:space="preserve">YAMB INTERNATIONAL</w:t>
      </w:r>
    </w:p>
    <w:p>
      <w:pPr>
        <w:shd w:fill="111111" w:val="clear"/>
        <w:spacing w:after="200" w:before="400"/>
        <w:jc w:val="center"/>
      </w:pPr>
      <w:r>
        <w:rPr>
          <w:rFonts w:ascii="Calibri" w:cs="Calibri" w:eastAsia="Calibri" w:hAnsi="Calibri"/>
          <w:b/>
          <w:bCs/>
          <w:color w:val="FFFFFF"/>
          <w:spacing w:val="20"/>
          <w:sz w:val="72"/>
          <w:szCs w:val="72"/>
        </w:rPr>
        <w:t xml:space="preserve">JAPPANDALE</w:t>
      </w:r>
    </w:p>
    <w:p>
      <w:pPr>
        <w:pBdr>
          <w:top w:val="single" w:color="F5C400" w:sz="6" w:space="10"/>
        </w:pBdr>
        <w:shd w:fill="111111" w:val="clear"/>
        <w:spacing w:after="100" w:before="0"/>
        <w:jc w:val="center"/>
      </w:pPr>
      <w:r>
        <w:rPr>
          <w:rFonts w:ascii="Calibri" w:cs="Calibri" w:eastAsia="Calibri" w:hAnsi="Calibri"/>
          <w:b/>
          <w:bCs/>
          <w:color w:val="F5C400"/>
          <w:spacing w:val="20"/>
          <w:sz w:val="40"/>
          <w:szCs w:val="40"/>
        </w:rPr>
        <w:t xml:space="preserve">CAHIER DES CHARGES</w:t>
      </w:r>
    </w:p>
    <w:p>
      <w:pPr>
        <w:shd w:fill="111111" w:val="clear"/>
        <w:spacing w:after="1200" w:before="100"/>
        <w:jc w:val="center"/>
      </w:pPr>
      <w:r>
        <w:rPr>
          <w:rFonts w:ascii="Calibri" w:cs="Calibri" w:eastAsia="Calibri" w:hAnsi="Calibri"/>
          <w:i/>
          <w:iCs/>
          <w:color w:val="CFCFCF"/>
          <w:sz w:val="24"/>
          <w:szCs w:val="24"/>
        </w:rPr>
        <w:t xml:space="preserve">Développement de la plateforme digitale de crowdfunding
et de mise en relation financière</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hd w:fill="111111" w:val="clear"/>
        <w:spacing w:after="60" w:before="0"/>
        <w:jc w:val="center"/>
      </w:pPr>
      <w:r>
        <w:rPr>
          <w:rFonts w:ascii="Calibri" w:cs="Calibri" w:eastAsia="Calibri" w:hAnsi="Calibri"/>
          <w:color w:val="F5C400"/>
          <w:sz w:val="20"/>
          <w:szCs w:val="20"/>
        </w:rPr>
        <w:t xml:space="preserve">Version 1.0 — Juillet 2026</w:t>
      </w:r>
    </w:p>
    <w:p>
      <w:pPr>
        <w:shd w:fill="111111" w:val="clear"/>
        <w:spacing w:after="0" w:before="0"/>
        <w:jc w:val="center"/>
      </w:pPr>
      <w:r>
        <w:rPr>
          <w:rFonts w:ascii="Calibri" w:cs="Calibri" w:eastAsia="Calibri" w:hAnsi="Calibri"/>
          <w:color w:val="9A9A9A"/>
          <w:sz w:val="18"/>
          <w:szCs w:val="18"/>
        </w:rPr>
        <w:t xml:space="preserve">Dakar, Sénégal</w:t>
      </w:r>
    </w:p>
    <w:p>
      <w:pPr>
        <w:shd w:fill="111111" w:val="clear"/>
      </w:pPr>
      <w:r>
        <w:rPr>
          <w:sz w:val="2"/>
          <w:szCs w:val="2"/>
        </w:rPr>
        <w:t xml:space="preserve"> </w:t>
      </w:r>
    </w:p>
    <w:p>
      <w:pPr>
        <w:shd w:fill="111111" w:val="clear"/>
      </w:pPr>
      <w:r>
        <w:rPr>
          <w:sz w:val="2"/>
          <w:szCs w:val="2"/>
        </w:rPr>
        <w:t xml:space="preserve"> </w:t>
      </w:r>
    </w:p>
    <w:p>
      <w:pPr>
        <w:shd w:fill="111111" w:val="clear"/>
      </w:pPr>
      <w:r>
        <w:rPr>
          <w:sz w:val="2"/>
          <w:szCs w:val="2"/>
        </w:rPr>
        <w:t xml:space="preserve"> </w:t>
      </w:r>
    </w:p>
    <w:p>
      <w:pPr>
        <w:sectPr>
          <w:pgSz w:w="11906" w:h="16838" w:orient="portrait"/>
          <w:pgMar w:top="0" w:right="0" w:bottom="0" w:left="0" w:header="708" w:footer="708" w:gutter="0"/>
          <w:pgNumType/>
          <w:docGrid w:linePitch="360"/>
        </w:sectPr>
      </w:pPr>
    </w:p>
    <w:p>
      <w:pPr>
        <w:pStyle w:val="Heading1"/>
        <w:spacing w:after="240"/>
      </w:pPr>
      <w:r>
        <w:rPr>
          <w:rFonts w:ascii="Calibri" w:cs="Calibri" w:eastAsia="Calibri" w:hAnsi="Calibri"/>
          <w:b/>
          <w:bCs/>
          <w:color w:val="111111"/>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1. Présentation du projet</w:t>
      </w:r>
    </w:p>
    <w:p>
      <w:pPr>
        <w:pStyle w:val="Heading2"/>
        <w:spacing w:after="160" w:before="320"/>
      </w:pPr>
      <w:r>
        <w:rPr>
          <w:rFonts w:ascii="Calibri" w:cs="Calibri" w:eastAsia="Calibri" w:hAnsi="Calibri"/>
          <w:b/>
          <w:bCs/>
          <w:color w:val="111111"/>
          <w:sz w:val="24"/>
          <w:szCs w:val="24"/>
        </w:rPr>
        <w:t xml:space="preserve">1.1 Contexte</w:t>
      </w:r>
    </w:p>
    <w:p>
      <w:pPr>
        <w:spacing w:after="160" w:line="276"/>
        <w:jc w:val="both"/>
      </w:pPr>
      <w:r>
        <w:rPr>
          <w:rFonts w:ascii="Calibri" w:cs="Calibri" w:eastAsia="Calibri" w:hAnsi="Calibri"/>
          <w:b w:val="false"/>
          <w:bCs w:val="false"/>
          <w:i w:val="false"/>
          <w:iCs w:val="false"/>
          <w:color w:val="222222"/>
          <w:sz w:val="21"/>
          <w:szCs w:val="21"/>
        </w:rPr>
        <w:t xml:space="preserve">Au Sénégal comme dans le reste de l'espace UEMOA, l'accès au financement demeure le principal frein au développement des porteurs de projets, qu'il s'agisse d'entrepreneurs individuels, de PME, de coopératives ou d'associations. Les circuits bancaires classiques restent peu adaptés aux petits porteurs de projets, tandis que l'épargne de la diaspora sénégalaise et les investisseurs de proximité manquent d'un canal structuré, sécurisé et transparent pour orienter leurs financements vers des projets locaux à fort impact.</w:t>
      </w:r>
    </w:p>
    <w:p>
      <w:pPr>
        <w:spacing w:after="160" w:line="276"/>
        <w:jc w:val="both"/>
      </w:pPr>
      <w:r>
        <w:rPr>
          <w:rFonts w:ascii="Calibri" w:cs="Calibri" w:eastAsia="Calibri" w:hAnsi="Calibri"/>
          <w:b w:val="false"/>
          <w:bCs w:val="false"/>
          <w:i w:val="false"/>
          <w:iCs w:val="false"/>
          <w:color w:val="222222"/>
          <w:sz w:val="21"/>
          <w:szCs w:val="21"/>
        </w:rPr>
        <w:t xml:space="preserve">Jappandale est la réponse de YAMB International à ce constat : une plateforme digitale sénégalaise de crowdfunding et de mise en relation financière, conçue pour connecter porteurs de projets, investisseurs, donateurs et diaspora autour d'un cadre fiable, évalué et suivi.</w:t>
      </w:r>
    </w:p>
    <w:p>
      <w:pPr>
        <w:pStyle w:val="Heading2"/>
        <w:spacing w:after="160" w:before="320"/>
      </w:pPr>
      <w:r>
        <w:rPr>
          <w:rFonts w:ascii="Calibri" w:cs="Calibri" w:eastAsia="Calibri" w:hAnsi="Calibri"/>
          <w:b/>
          <w:bCs/>
          <w:color w:val="111111"/>
          <w:sz w:val="24"/>
          <w:szCs w:val="24"/>
        </w:rPr>
        <w:t xml:space="preserve">1.2 Porteur du projet</w:t>
      </w:r>
    </w:p>
    <w:p>
      <w:pPr>
        <w:spacing w:after="160" w:line="276"/>
        <w:jc w:val="both"/>
      </w:pPr>
      <w:r>
        <w:rPr>
          <w:rFonts w:ascii="Calibri" w:cs="Calibri" w:eastAsia="Calibri" w:hAnsi="Calibri"/>
          <w:b w:val="false"/>
          <w:bCs w:val="false"/>
          <w:i w:val="false"/>
          <w:iCs w:val="false"/>
          <w:color w:val="222222"/>
          <w:sz w:val="21"/>
          <w:szCs w:val="21"/>
        </w:rPr>
        <w:t xml:space="preserve">Le projet est porté par YAMB International, société dakaroise opérant sur plusieurs verticales (fintech, solutions technologiques, développement d'affaires en Afrique de l'Ouest), en lien avec l'écosystème Jubbel Systems pour les aspects techniques et sécuritaires.</w:t>
      </w:r>
    </w:p>
    <w:p>
      <w:pPr>
        <w:pStyle w:val="Heading2"/>
        <w:spacing w:after="160" w:before="320"/>
      </w:pPr>
      <w:r>
        <w:rPr>
          <w:rFonts w:ascii="Calibri" w:cs="Calibri" w:eastAsia="Calibri" w:hAnsi="Calibri"/>
          <w:b/>
          <w:bCs/>
          <w:color w:val="111111"/>
          <w:sz w:val="24"/>
          <w:szCs w:val="24"/>
        </w:rPr>
        <w:t xml:space="preserve">1.3 Objet du présent document</w:t>
      </w:r>
    </w:p>
    <w:p>
      <w:pPr>
        <w:spacing w:after="160" w:line="276"/>
        <w:jc w:val="both"/>
      </w:pPr>
      <w:r>
        <w:rPr>
          <w:rFonts w:ascii="Calibri" w:cs="Calibri" w:eastAsia="Calibri" w:hAnsi="Calibri"/>
          <w:b w:val="false"/>
          <w:bCs w:val="false"/>
          <w:i w:val="false"/>
          <w:iCs w:val="false"/>
          <w:color w:val="222222"/>
          <w:sz w:val="21"/>
          <w:szCs w:val="21"/>
        </w:rPr>
        <w:t xml:space="preserve">Ce cahier des charges a pour objet de définir, à destination des équipes de développement (internes ou prestataires externes), l'ensemble des exigences fonctionnelles, techniques, réglementaires et organisationnelles nécessaires à la conception, au développement, au déploiement et à l'exploitation de la plateforme Jappandale. Il constitue le document de référence contractuel pour le cadrage, le chiffrage et la recette du projet.</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2. Objectifs du projet</w:t>
      </w:r>
    </w:p>
    <w:p>
      <w:pPr>
        <w:pStyle w:val="Heading2"/>
        <w:spacing w:after="160" w:before="320"/>
      </w:pPr>
      <w:r>
        <w:rPr>
          <w:rFonts w:ascii="Calibri" w:cs="Calibri" w:eastAsia="Calibri" w:hAnsi="Calibri"/>
          <w:b/>
          <w:bCs/>
          <w:color w:val="111111"/>
          <w:sz w:val="24"/>
          <w:szCs w:val="24"/>
        </w:rPr>
        <w:t xml:space="preserve">2.1 Objectifs stratégiques</w:t>
      </w:r>
    </w:p>
    <w:p>
      <w:pPr>
        <w:pStyle w:val="ListParagraph"/>
        <w:numPr>
          <w:ilvl w:val="0"/>
          <w:numId w:val="2"/>
        </w:numPr>
        <w:spacing w:after="100"/>
      </w:pPr>
      <w:r>
        <w:rPr>
          <w:rFonts w:ascii="Calibri" w:cs="Calibri" w:eastAsia="Calibri" w:hAnsi="Calibri"/>
          <w:b/>
          <w:bCs/>
          <w:color w:val="111111"/>
          <w:sz w:val="21"/>
          <w:szCs w:val="21"/>
        </w:rPr>
        <w:t xml:space="preserve">Démocratiser l'accès au financement — </w:t>
      </w:r>
      <w:r>
        <w:rPr>
          <w:rFonts w:ascii="Calibri" w:cs="Calibri" w:eastAsia="Calibri" w:hAnsi="Calibri"/>
          <w:sz w:val="21"/>
          <w:szCs w:val="21"/>
        </w:rPr>
        <w:t xml:space="preserve">permettre à tout porteur de projet sénégalais, évalué et validé, de lever des fonds auprès d'une communauté d'investisseurs et de donateurs.</w:t>
      </w:r>
    </w:p>
    <w:p>
      <w:pPr>
        <w:pStyle w:val="ListParagraph"/>
        <w:numPr>
          <w:ilvl w:val="0"/>
          <w:numId w:val="2"/>
        </w:numPr>
        <w:spacing w:after="100"/>
      </w:pPr>
      <w:r>
        <w:rPr>
          <w:rFonts w:ascii="Calibri" w:cs="Calibri" w:eastAsia="Calibri" w:hAnsi="Calibri"/>
          <w:b/>
          <w:bCs/>
          <w:color w:val="111111"/>
          <w:sz w:val="21"/>
          <w:szCs w:val="21"/>
        </w:rPr>
        <w:t xml:space="preserve">Canaliser l'épargne diaspora — </w:t>
      </w:r>
      <w:r>
        <w:rPr>
          <w:rFonts w:ascii="Calibri" w:cs="Calibri" w:eastAsia="Calibri" w:hAnsi="Calibri"/>
          <w:sz w:val="21"/>
          <w:szCs w:val="21"/>
        </w:rPr>
        <w:t xml:space="preserve">offrir à la diaspora sénégalaise un canal digital, sécurisé et traçable pour investir dans des projets locaux.</w:t>
      </w:r>
    </w:p>
    <w:p>
      <w:pPr>
        <w:pStyle w:val="ListParagraph"/>
        <w:numPr>
          <w:ilvl w:val="0"/>
          <w:numId w:val="2"/>
        </w:numPr>
        <w:spacing w:after="100"/>
      </w:pPr>
      <w:r>
        <w:rPr>
          <w:rFonts w:ascii="Calibri" w:cs="Calibri" w:eastAsia="Calibri" w:hAnsi="Calibri"/>
          <w:b/>
          <w:bCs/>
          <w:color w:val="111111"/>
          <w:sz w:val="21"/>
          <w:szCs w:val="21"/>
        </w:rPr>
        <w:t xml:space="preserve">Fiabiliser la mise en relation financière — </w:t>
      </w:r>
      <w:r>
        <w:rPr>
          <w:rFonts w:ascii="Calibri" w:cs="Calibri" w:eastAsia="Calibri" w:hAnsi="Calibri"/>
          <w:sz w:val="21"/>
          <w:szCs w:val="21"/>
        </w:rPr>
        <w:t xml:space="preserve">réduire l'asymétrie d'information entre porteurs de projets et financeurs grâce à un système de notation propriétaire (Score Jappandale®).</w:t>
      </w:r>
    </w:p>
    <w:p>
      <w:pPr>
        <w:pStyle w:val="ListParagraph"/>
        <w:numPr>
          <w:ilvl w:val="0"/>
          <w:numId w:val="2"/>
        </w:numPr>
        <w:spacing w:after="100"/>
      </w:pPr>
      <w:r>
        <w:rPr>
          <w:rFonts w:ascii="Calibri" w:cs="Calibri" w:eastAsia="Calibri" w:hAnsi="Calibri"/>
          <w:b/>
          <w:bCs/>
          <w:color w:val="111111"/>
          <w:sz w:val="21"/>
          <w:szCs w:val="21"/>
        </w:rPr>
        <w:t xml:space="preserve">Structurer un guichet unique — </w:t>
      </w:r>
      <w:r>
        <w:rPr>
          <w:rFonts w:ascii="Calibri" w:cs="Calibri" w:eastAsia="Calibri" w:hAnsi="Calibri"/>
          <w:sz w:val="21"/>
          <w:szCs w:val="21"/>
        </w:rPr>
        <w:t xml:space="preserve">centraliser, via le Guichet Unique du Financement, l'ensemble des dispositifs de financement (privés, publics, institutionnels) accessibles aux porteurs de projets.</w:t>
      </w:r>
    </w:p>
    <w:p>
      <w:pPr>
        <w:pStyle w:val="ListParagraph"/>
        <w:numPr>
          <w:ilvl w:val="0"/>
          <w:numId w:val="2"/>
        </w:numPr>
        <w:spacing w:after="100"/>
      </w:pPr>
      <w:r>
        <w:rPr>
          <w:rFonts w:ascii="Calibri" w:cs="Calibri" w:eastAsia="Calibri" w:hAnsi="Calibri"/>
          <w:b/>
          <w:bCs/>
          <w:color w:val="111111"/>
          <w:sz w:val="21"/>
          <w:szCs w:val="21"/>
        </w:rPr>
        <w:t xml:space="preserve">Générer un historique financier valorisable — </w:t>
      </w:r>
      <w:r>
        <w:rPr>
          <w:rFonts w:ascii="Calibri" w:cs="Calibri" w:eastAsia="Calibri" w:hAnsi="Calibri"/>
          <w:sz w:val="21"/>
          <w:szCs w:val="21"/>
        </w:rPr>
        <w:t xml:space="preserve">constituer, via le Passeport Financier Jappandale®, un historique de fiabilité réutilisable par le porteur de projet auprès d'autres partenaires financiers.</w:t>
      </w:r>
    </w:p>
    <w:p>
      <w:pPr>
        <w:pStyle w:val="Heading2"/>
        <w:spacing w:after="160" w:before="320"/>
      </w:pPr>
      <w:r>
        <w:rPr>
          <w:rFonts w:ascii="Calibri" w:cs="Calibri" w:eastAsia="Calibri" w:hAnsi="Calibri"/>
          <w:b/>
          <w:bCs/>
          <w:color w:val="111111"/>
          <w:sz w:val="24"/>
          <w:szCs w:val="24"/>
        </w:rPr>
        <w:t xml:space="preserve">2.2 Objectifs opérationnels du développement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Livrer une plateforme web responsive et une application mobile (Android prioritaire, iOS en phase 2).</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Garantir un parcours d'inscription et de KYC conforme aux exigences BCEAO/UEMOA en matière de lutte contre le blanchiment de capitaux.</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Intégrer les moyens de paiement mobile money dominants au Sénégal (Wave, Orange Money) ainsi qu'un canal de paiement international pour la diaspora.</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Déployer un back-office d'administration permettant le contrôle, la modération et le reporting de l'activité.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Assurer un niveau de sécurité et de disponibilité conforme aux standards d'une plateforme manipulant des flux financiers.</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3. Périmètre du projet</w:t>
      </w:r>
    </w:p>
    <w:p>
      <w:pPr>
        <w:pStyle w:val="Heading2"/>
        <w:spacing w:after="160" w:before="320"/>
      </w:pPr>
      <w:r>
        <w:rPr>
          <w:rFonts w:ascii="Calibri" w:cs="Calibri" w:eastAsia="Calibri" w:hAnsi="Calibri"/>
          <w:b/>
          <w:bCs/>
          <w:color w:val="111111"/>
          <w:sz w:val="24"/>
          <w:szCs w:val="24"/>
        </w:rPr>
        <w:t xml:space="preserve">3.1 Inclus dans le périmètre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Plateforme web (site + espace membre) et application mobile.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Modules d'inscription, de KYC et de gestion de profils (porteurs de projets, investisseurs, donateurs, diaspora, administrateurs).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Moteur du Score Jappandale® et du Passeport Financier Jappandale®.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Module de campagnes de collecte (don, investissement, prêt participatif).</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Intégration des moyens de paiement locaux et internationaux.</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Back-office d'administration, de modération et de reporting.</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Module de notifications (SMS, e-mail, push).</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Tableaux de bord de suivi pour porteurs de projets et financeurs.</w:t>
      </w:r>
    </w:p>
    <w:p>
      <w:pPr>
        <w:pStyle w:val="Heading2"/>
        <w:spacing w:after="160" w:before="320"/>
      </w:pPr>
      <w:r>
        <w:rPr>
          <w:rFonts w:ascii="Calibri" w:cs="Calibri" w:eastAsia="Calibri" w:hAnsi="Calibri"/>
          <w:b/>
          <w:bCs/>
          <w:color w:val="111111"/>
          <w:sz w:val="24"/>
          <w:szCs w:val="24"/>
        </w:rPr>
        <w:t xml:space="preserve">3.2 Hors périmètre (phase 1)</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Octroi de crédit bancaire direct par la plateforme (Jappandale oriente, mais n'est pas elle-même un établissement de crédit).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Marché secondaire de revente de parts d'investissement.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Application iOS (prévue en phase 2).</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Extension hors UEMOA (prévue en phase 3, cf. feuille de route).</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4. Acteurs et profils utilisateurs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Acteur</w:t>
            </w:r>
          </w:p>
        </w:tc>
        <w:tc>
          <w:tcPr>
            <w:tcW w:type="dxa" w:w="32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Rôle</w:t>
            </w:r>
          </w:p>
        </w:tc>
        <w:tc>
          <w:tcPr>
            <w:tcW w:type="dxa" w:w="37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Besoins clés</w:t>
            </w:r>
          </w:p>
        </w:tc>
      </w:tr>
      <w:tr>
        <w:tc>
          <w:tcPr>
            <w:tcW w:type="dxa" w:w="24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Porteur de projet</w:t>
            </w:r>
          </w:p>
        </w:tc>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Soumet un projet, sollicite un financement</w:t>
            </w:r>
          </w:p>
        </w:tc>
        <w:tc>
          <w:tcPr>
            <w:tcW w:type="dxa" w:w="3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Créer une campagne, suivre son Score, accéder au Guichet Unique</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Investisseur</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Finance un projet en attendant un retour</w:t>
            </w:r>
          </w:p>
        </w:tc>
        <w:tc>
          <w:tcPr>
            <w:tcW w:type="dxa" w:w="3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Analyser le Score, investir, suivre le rendement</w:t>
            </w:r>
          </w:p>
        </w:tc>
      </w:tr>
      <w:tr>
        <w:tc>
          <w:tcPr>
            <w:tcW w:type="dxa" w:w="24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Donateur</w:t>
            </w:r>
          </w:p>
        </w:tc>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Contribue sans contrepartie financière</w:t>
            </w:r>
          </w:p>
        </w:tc>
        <w:tc>
          <w:tcPr>
            <w:tcW w:type="dxa" w:w="3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Contribuer simplement, suivre l'impact</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Diaspora</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Investisseur/donateur basé à l'étranger</w:t>
            </w:r>
          </w:p>
        </w:tc>
        <w:tc>
          <w:tcPr>
            <w:tcW w:type="dxa" w:w="3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Payer en devise étrangère, suivi à distance, confiance renforcée</w:t>
            </w:r>
          </w:p>
        </w:tc>
      </w:tr>
      <w:tr>
        <w:tc>
          <w:tcPr>
            <w:tcW w:type="dxa" w:w="24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Partenaire financier institutionnel</w:t>
            </w:r>
          </w:p>
        </w:tc>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Fonds, banques, bailleurs référencés au Guichet Unique</w:t>
            </w:r>
          </w:p>
        </w:tc>
        <w:tc>
          <w:tcPr>
            <w:tcW w:type="dxa" w:w="3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Visibilité sur les projets éligibles à leurs dispositifs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Administrateur YAMB</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Modère, valide, supervise la plateforme</w:t>
            </w:r>
          </w:p>
        </w:tc>
        <w:tc>
          <w:tcPr>
            <w:tcW w:type="dxa" w:w="3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Back-office complet, reporting, conformité</w:t>
            </w:r>
          </w:p>
        </w:tc>
      </w:tr>
    </w:tbl>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5. Spécifications fonctionnelles</w:t>
      </w:r>
    </w:p>
    <w:p>
      <w:pPr>
        <w:pStyle w:val="Heading2"/>
        <w:spacing w:after="160" w:before="320"/>
      </w:pPr>
      <w:r>
        <w:rPr>
          <w:rFonts w:ascii="Calibri" w:cs="Calibri" w:eastAsia="Calibri" w:hAnsi="Calibri"/>
          <w:b/>
          <w:bCs/>
          <w:color w:val="111111"/>
          <w:sz w:val="24"/>
          <w:szCs w:val="24"/>
        </w:rPr>
        <w:t xml:space="preserve">5.1 Module Inscription &amp; KYC</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Inscription par e-mail/numéro de téléphone avec vérification OTP.</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Parcours KYC différencié par profil (pièce d'identité, selfie de vérification, justificatif d'activité pour les porteurs de projets).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Vérification renforcée pour la diaspora (justificatif de résidence à l'étranger, source des fonds).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Statuts de compte : en attente de validation, validé, suspendu, rejeté.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Journalisation de toutes les actions de vérification à des fins d'audit et de conformité BCEAO.</w:t>
      </w:r>
    </w:p>
    <w:p>
      <w:pPr>
        <w:pStyle w:val="Heading2"/>
        <w:spacing w:after="160" w:before="320"/>
      </w:pPr>
      <w:r>
        <w:rPr>
          <w:rFonts w:ascii="Calibri" w:cs="Calibri" w:eastAsia="Calibri" w:hAnsi="Calibri"/>
          <w:b/>
          <w:bCs/>
          <w:color w:val="111111"/>
          <w:sz w:val="24"/>
          <w:szCs w:val="24"/>
        </w:rPr>
        <w:t xml:space="preserve">5.2 Moteur Score Jappandale®</w:t>
      </w:r>
    </w:p>
    <w:p>
      <w:pPr>
        <w:spacing w:after="160" w:line="276"/>
        <w:jc w:val="both"/>
      </w:pPr>
      <w:r>
        <w:rPr>
          <w:rFonts w:ascii="Calibri" w:cs="Calibri" w:eastAsia="Calibri" w:hAnsi="Calibri"/>
          <w:b w:val="false"/>
          <w:bCs w:val="false"/>
          <w:i w:val="false"/>
          <w:iCs w:val="false"/>
          <w:color w:val="222222"/>
          <w:sz w:val="21"/>
          <w:szCs w:val="21"/>
        </w:rPr>
        <w:t xml:space="preserve">Le Score Jappandale® est l'algorithme propriétaire de notation des porteurs de projets. Il doit être conçu comme un module indépendant et paramétrable, alimenté par :</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Les données déclaratives du projet (secteur, montant, plan d'affaires, antériorité).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L'historique de remboursement / d'exécution de campagnes précédentes le cas échéant.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Des signaux externes lorsque disponibles (centrale des risques, données mobile money avec consentement).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Une revue qualitative par les équipes YAMB (score mixte automatique + validation humaine en phase 1).</w:t>
      </w:r>
    </w:p>
    <w:p>
      <w:pPr>
        <w:spacing w:after="160" w:line="276"/>
        <w:jc w:val="both"/>
      </w:pPr>
      <w:r>
        <w:rPr>
          <w:rFonts w:ascii="Calibri" w:cs="Calibri" w:eastAsia="Calibri" w:hAnsi="Calibri"/>
          <w:b/>
          <w:bCs/>
          <w:i w:val="false"/>
          <w:iCs w:val="false"/>
          <w:color w:val="222222"/>
          <w:sz w:val="21"/>
          <w:szCs w:val="21"/>
        </w:rPr>
        <w:t xml:space="preserve">Exigence clé : le moteur de scoring doit être découplé du reste de l'application (service dédié avec API interne) afin de pouvoir faire évoluer le modèle sans redéploiement global.</w:t>
      </w:r>
    </w:p>
    <w:p>
      <w:pPr>
        <w:pStyle w:val="Heading2"/>
        <w:spacing w:after="160" w:before="320"/>
      </w:pPr>
      <w:r>
        <w:rPr>
          <w:rFonts w:ascii="Calibri" w:cs="Calibri" w:eastAsia="Calibri" w:hAnsi="Calibri"/>
          <w:b/>
          <w:bCs/>
          <w:color w:val="111111"/>
          <w:sz w:val="24"/>
          <w:szCs w:val="24"/>
        </w:rPr>
        <w:t xml:space="preserve">5.3 Passeport Financier Jappandale®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Génération automatique d'un historique financier consolidé par porteur de projet (campagnes menées, montants levés, taux de remboursement, avis des financeurs).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Export du Passeport en PDF certifié, horodaté et vérifiable (QR code ou identifiant unique de vérification).</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Accès du porteur de projet à son propre Passeport à tout moment depuis son espace personnel.</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Possibilité pour le porteur de projet d'autoriser le partage de son Passeport avec un tiers financeur externe à la plateforme.</w:t>
      </w:r>
    </w:p>
    <w:p>
      <w:pPr>
        <w:pStyle w:val="Heading2"/>
        <w:spacing w:after="160" w:before="320"/>
      </w:pPr>
      <w:r>
        <w:rPr>
          <w:rFonts w:ascii="Calibri" w:cs="Calibri" w:eastAsia="Calibri" w:hAnsi="Calibri"/>
          <w:b/>
          <w:bCs/>
          <w:color w:val="111111"/>
          <w:sz w:val="24"/>
          <w:szCs w:val="24"/>
        </w:rPr>
        <w:t xml:space="preserve">5.4 Guichet Unique du Financement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Référentiel des dispositifs de financement disponibles (fonds publics, bailleurs, banques partenaires, programmes d'appui).</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Matching automatique entre le profil/Score d'un porteur de projet et les dispositifs pour lesquels il est éligible.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Interface de gestion permettant aux partenaires institutionnels de publier et mettre à jour leurs critères d'éligibilité.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Historique des orientations effectuées et de leur suivi (taux de transformation).</w:t>
      </w:r>
    </w:p>
    <w:p>
      <w:pPr>
        <w:pStyle w:val="Heading2"/>
        <w:spacing w:after="160" w:before="320"/>
      </w:pPr>
      <w:r>
        <w:rPr>
          <w:rFonts w:ascii="Calibri" w:cs="Calibri" w:eastAsia="Calibri" w:hAnsi="Calibri"/>
          <w:b/>
          <w:bCs/>
          <w:color w:val="111111"/>
          <w:sz w:val="24"/>
          <w:szCs w:val="24"/>
        </w:rPr>
        <w:t xml:space="preserve">5.5 Module Campagnes de collecte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Création de campagne avec description, objectif financier, durée, contreparties (don), taux de rendement attendu (investissement).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Trois types de campagnes : don libre, don avec contrepartie, investissement participatif.</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Page publique de campagne avec compteur de progression, liste des contributeurs (anonymisable), mises à jour du porteur de projet.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Règles de clôture automatique à échéance ou à objectif atteint, avec gestion du cas 'objectif non atteint' (remboursement ou collecte flexible, paramétrable par type de campagne).</w:t>
      </w:r>
    </w:p>
    <w:p>
      <w:pPr>
        <w:pStyle w:val="Heading2"/>
        <w:spacing w:after="160" w:before="320"/>
      </w:pPr>
      <w:r>
        <w:rPr>
          <w:rFonts w:ascii="Calibri" w:cs="Calibri" w:eastAsia="Calibri" w:hAnsi="Calibri"/>
          <w:b/>
          <w:bCs/>
          <w:color w:val="111111"/>
          <w:sz w:val="24"/>
          <w:szCs w:val="24"/>
        </w:rPr>
        <w:t xml:space="preserve">5.6 Module Paiements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Intégration Wave et Orange Money pour les contributions locales.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Passerelle de paiement international (carte bancaire, ou solution de transfert type Wise/PayPal) pour la diaspora.</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Portefeuille interne (wallet) par utilisateur avec historique des transactions.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Séquestre des fonds jusqu'à validation de l'étape de campagne concernée, avant reversement au porteur de projet.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Gestion des commissions de plateforme, remboursements et cas de litige.</w:t>
      </w:r>
    </w:p>
    <w:p>
      <w:pPr>
        <w:pStyle w:val="Heading2"/>
        <w:spacing w:after="160" w:before="320"/>
      </w:pPr>
      <w:r>
        <w:rPr>
          <w:rFonts w:ascii="Calibri" w:cs="Calibri" w:eastAsia="Calibri" w:hAnsi="Calibri"/>
          <w:b/>
          <w:bCs/>
          <w:color w:val="111111"/>
          <w:sz w:val="24"/>
          <w:szCs w:val="24"/>
        </w:rPr>
        <w:t xml:space="preserve">5.7 Suivi, reporting et communication</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Tableau de bord porteur de projet : progression de la collecte, Score, communications reçues.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Tableau de bord financeur : portefeuille de contributions, statut des projets financés, historique de rendement.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Notifications multicanal (SMS, e-mail, push) : nouvelle contribution, étape franchie, mise à jour de projet, alerte KYC.</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Espace de messagerie encadrée entre porteur de projet et financeurs.</w:t>
      </w:r>
    </w:p>
    <w:p>
      <w:pPr>
        <w:pStyle w:val="Heading2"/>
        <w:spacing w:after="160" w:before="320"/>
      </w:pPr>
      <w:r>
        <w:rPr>
          <w:rFonts w:ascii="Calibri" w:cs="Calibri" w:eastAsia="Calibri" w:hAnsi="Calibri"/>
          <w:b/>
          <w:bCs/>
          <w:color w:val="111111"/>
          <w:sz w:val="24"/>
          <w:szCs w:val="24"/>
        </w:rPr>
        <w:t xml:space="preserve">5.8 Back-office administrateur (YAMB)</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Validation/rejet des inscriptions et des campagnes avant publication.</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Vue consolidée des flux financiers, commissions et litiges.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Gestion des paramètres du Score Jappandale® et des règles de conformité.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Gestion du référentiel du Guichet Unique du Financement.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Export de rapports réglementaires (BCEAO, autorités fiscales) et statistiques d'activité.</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6. Exigences non fonctionnelles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Catégorie</w:t>
            </w:r>
          </w:p>
        </w:tc>
        <w:tc>
          <w:tcPr>
            <w:tcW w:type="dxa" w:w="67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Exigence</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Sécurité</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Chiffrement des données au repos et en transit (TLS 1.2+), authentification forte (MFA) pour les comptes administrateurs, protection contre les fraudes transactionnelles, tests d'intrusion avant mise en production.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Conformité</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Respect des exigences BCEAO/UEMOA en matière de LBC-FT, respect de la loi sénégalaise sur la protection des données à caractère personnel.</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Disponibilité</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Objectif de disponibilité 99,5 % hors maintenance planifiée ; plan de reprise d'activité documenté.</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Performance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Temps de réponse cible inférieur à 2 secondes sur les parcours critiques (paiement, inscription) en conditions de charge normale.</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Scalabilité</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Architecture capable de monter en charge (montée en volume de campagnes et d'utilisateurs) sans refonte majeure.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Auditabilité</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Journalisation complète et immuable des opérations financières et des actions d'administration.</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Accessibilité &amp; langue</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Interface en français, avec prise en compte du Wolof pour les contenus d'accompagnement (aide, tutoriels) ; compatibilité avec des connexions mobiles à faible débit.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Compatibilité</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Web responsive (mobile-first) et application Android native ou hybride ; support des principaux navigateurs.</w:t>
            </w:r>
          </w:p>
        </w:tc>
      </w:tr>
    </w:tbl>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7. Architecture technique proposée</w:t>
      </w:r>
    </w:p>
    <w:p>
      <w:pPr>
        <w:pStyle w:val="Heading2"/>
        <w:spacing w:after="160" w:before="320"/>
      </w:pPr>
      <w:r>
        <w:rPr>
          <w:rFonts w:ascii="Calibri" w:cs="Calibri" w:eastAsia="Calibri" w:hAnsi="Calibri"/>
          <w:b/>
          <w:bCs/>
          <w:color w:val="111111"/>
          <w:sz w:val="24"/>
          <w:szCs w:val="24"/>
        </w:rPr>
        <w:t xml:space="preserve">7.1 Approche générale</w:t>
      </w:r>
    </w:p>
    <w:p>
      <w:pPr>
        <w:spacing w:after="160" w:line="276"/>
        <w:jc w:val="both"/>
      </w:pPr>
      <w:r>
        <w:rPr>
          <w:rFonts w:ascii="Calibri" w:cs="Calibri" w:eastAsia="Calibri" w:hAnsi="Calibri"/>
          <w:b w:val="false"/>
          <w:bCs w:val="false"/>
          <w:i w:val="false"/>
          <w:iCs w:val="false"/>
          <w:color w:val="222222"/>
          <w:sz w:val="21"/>
          <w:szCs w:val="21"/>
        </w:rPr>
        <w:t xml:space="preserve">Une architecture orientée services est recommandée afin d'isoler les composants sensibles (paiement, scoring, KYC) du reste de l'application, de faciliter la conformité et de permettre une évolution indépendante de chaque brique.</w:t>
      </w:r>
    </w:p>
    <w:p>
      <w:pPr>
        <w:pStyle w:val="Heading2"/>
        <w:spacing w:after="160" w:before="320"/>
      </w:pPr>
      <w:r>
        <w:rPr>
          <w:rFonts w:ascii="Calibri" w:cs="Calibri" w:eastAsia="Calibri" w:hAnsi="Calibri"/>
          <w:b/>
          <w:bCs/>
          <w:color w:val="111111"/>
          <w:sz w:val="24"/>
          <w:szCs w:val="24"/>
        </w:rPr>
        <w:t xml:space="preserve">7.2 Stack technique indicative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Composant</w:t>
            </w:r>
          </w:p>
        </w:tc>
        <w:tc>
          <w:tcPr>
            <w:tcW w:type="dxa" w:w="67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Proposition</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Frontend web</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React / Next.js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Application mobile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React Native (Android en priorité, iOS phase 2)</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Backend / API</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Node.js (Express/NestJS) ou équivalent, architecture en microservices ou modules découplés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Base de données</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PostgreSQL (données transactionnelles) + Redis (cache/sessions)</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Service de scoring</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Service indépendant, exposé via API interne, permettant l'évolution du modèle sans impact sur le cœur applicatif</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Paiements</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Intégration API Wave, API Orange Money, passerelle internationale pour la diaspora</w:t>
            </w:r>
          </w:p>
        </w:tc>
      </w:tr>
      <w:tr>
        <w:tc>
          <w:tcPr>
            <w:tcW w:type="dxa" w:w="2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Infrastructure</w:t>
            </w:r>
          </w:p>
        </w:tc>
        <w:tc>
          <w:tcPr>
            <w:tcW w:type="dxa" w:w="6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Hébergement cloud avec réplication, sauvegardes automatisées, séparation des environnements (dev/staging/production)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Sécurité</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Chiffrement, gestion des secrets, WAF, supervision et alerting</w:t>
            </w:r>
          </w:p>
        </w:tc>
      </w:tr>
    </w:tbl>
    <w:p>
      <w:pPr>
        <w:pStyle w:val="Heading2"/>
        <w:spacing w:after="160" w:before="320"/>
      </w:pPr>
      <w:r>
        <w:rPr>
          <w:rFonts w:ascii="Calibri" w:cs="Calibri" w:eastAsia="Calibri" w:hAnsi="Calibri"/>
          <w:b/>
          <w:bCs/>
          <w:color w:val="111111"/>
          <w:sz w:val="24"/>
          <w:szCs w:val="24"/>
        </w:rPr>
        <w:t xml:space="preserve">7.3 Modèle de données — entités principales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Utilisateur (profil, rôle, statut KYC).</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Projet / Campagne (métadonnées, statut, objectif, échéance).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Contribution (montant, type, moyen de paiement, statut).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Score (historique des scores calculés par projet/porteur).</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Passeport Financier (agrégat consolidé, versionné).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Dispositif de financement (référentiel du Guichet Unique).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Transaction / Wallet (mouvements financiers, séquestre, commissions).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Notification (canal, statut d'envoi, contenu).</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8. Intégrations tierces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Intégration</w:t>
            </w:r>
          </w:p>
        </w:tc>
        <w:tc>
          <w:tcPr>
            <w:tcW w:type="dxa" w:w="57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Finalité</w:t>
            </w:r>
          </w:p>
        </w:tc>
      </w:tr>
      <w:tr>
        <w:tc>
          <w:tcPr>
            <w:tcW w:type="dxa" w:w="3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Wave</w:t>
            </w:r>
          </w:p>
        </w:tc>
        <w:tc>
          <w:tcPr>
            <w:tcW w:type="dxa" w:w="5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Paiement mobile money local (contribution, reversement)</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Orange Money</w:t>
            </w:r>
          </w:p>
        </w:tc>
        <w:tc>
          <w:tcPr>
            <w:tcW w:type="dxa" w:w="5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Paiement mobile money local alternatif</w:t>
            </w:r>
          </w:p>
        </w:tc>
      </w:tr>
      <w:tr>
        <w:tc>
          <w:tcPr>
            <w:tcW w:type="dxa" w:w="3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Passerelle internationale (carte / transfert)</w:t>
            </w:r>
          </w:p>
        </w:tc>
        <w:tc>
          <w:tcPr>
            <w:tcW w:type="dxa" w:w="5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Contributions de la diaspora en devises étrangères</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Fournisseur SMS/OTP</w:t>
            </w:r>
          </w:p>
        </w:tc>
        <w:tc>
          <w:tcPr>
            <w:tcW w:type="dxa" w:w="5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Vérification d'identité, notifications transactionnelles</w:t>
            </w:r>
          </w:p>
        </w:tc>
      </w:tr>
      <w:tr>
        <w:tc>
          <w:tcPr>
            <w:tcW w:type="dxa" w:w="36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Service e-mail transactionnel</w:t>
            </w:r>
          </w:p>
        </w:tc>
        <w:tc>
          <w:tcPr>
            <w:tcW w:type="dxa" w:w="57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Confirmations, alertes, rapports</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Fournisseur KYC (le cas échéant)</w:t>
            </w:r>
          </w:p>
        </w:tc>
        <w:tc>
          <w:tcPr>
            <w:tcW w:type="dxa" w:w="57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Vérification documentaire et biométrique automatisée</w:t>
            </w:r>
          </w:p>
        </w:tc>
      </w:tr>
    </w:tbl>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9. Gouvernance du projet</w:t>
      </w:r>
    </w:p>
    <w:p>
      <w:pPr>
        <w:pStyle w:val="Heading2"/>
        <w:spacing w:after="160" w:before="320"/>
      </w:pPr>
      <w:r>
        <w:rPr>
          <w:rFonts w:ascii="Calibri" w:cs="Calibri" w:eastAsia="Calibri" w:hAnsi="Calibri"/>
          <w:b/>
          <w:bCs/>
          <w:color w:val="111111"/>
          <w:sz w:val="24"/>
          <w:szCs w:val="24"/>
        </w:rPr>
        <w:t xml:space="preserve">9.1 Méthodologie</w:t>
      </w:r>
    </w:p>
    <w:p>
      <w:pPr>
        <w:spacing w:after="160" w:line="276"/>
        <w:jc w:val="both"/>
      </w:pPr>
      <w:r>
        <w:rPr>
          <w:rFonts w:ascii="Calibri" w:cs="Calibri" w:eastAsia="Calibri" w:hAnsi="Calibri"/>
          <w:b w:val="false"/>
          <w:bCs w:val="false"/>
          <w:i w:val="false"/>
          <w:iCs w:val="false"/>
          <w:color w:val="222222"/>
          <w:sz w:val="21"/>
          <w:szCs w:val="21"/>
        </w:rPr>
        <w:t xml:space="preserve">Développement en méthodologie agile (cycles de type Scrum, sprints de deux semaines), avec des revues de sprint impliquant YAMB International à chaque livraison incrémentale.</w:t>
      </w:r>
    </w:p>
    <w:p>
      <w:pPr>
        <w:pStyle w:val="Heading2"/>
        <w:spacing w:after="160" w:before="320"/>
      </w:pPr>
      <w:r>
        <w:rPr>
          <w:rFonts w:ascii="Calibri" w:cs="Calibri" w:eastAsia="Calibri" w:hAnsi="Calibri"/>
          <w:b/>
          <w:bCs/>
          <w:color w:val="111111"/>
          <w:sz w:val="24"/>
          <w:szCs w:val="24"/>
        </w:rPr>
        <w:t xml:space="preserve">9.2 Rôles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Rôle</w:t>
            </w:r>
          </w:p>
        </w:tc>
        <w:tc>
          <w:tcPr>
            <w:tcW w:type="dxa" w:w="61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Responsabilité</w:t>
            </w:r>
          </w:p>
        </w:tc>
      </w:tr>
      <w:tr>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Product Owner (YAMB)</w:t>
            </w:r>
          </w:p>
        </w:tc>
        <w:tc>
          <w:tcPr>
            <w:tcW w:type="dxa" w:w="61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Priorisation du backlog, validation fonctionnelle</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Chef de projet technique</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Pilotage du développement, respect du planning et du budget</w:t>
            </w:r>
          </w:p>
        </w:tc>
      </w:tr>
      <w:tr>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Équipe de développement</w:t>
            </w:r>
          </w:p>
        </w:tc>
        <w:tc>
          <w:tcPr>
            <w:tcW w:type="dxa" w:w="61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Conception, développement, tests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Référent conformité</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Validation des exigences BCEAO/UEMOA et protection des données</w:t>
            </w:r>
          </w:p>
        </w:tc>
      </w:tr>
      <w:tr>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Référent sécurité</w:t>
            </w:r>
          </w:p>
        </w:tc>
        <w:tc>
          <w:tcPr>
            <w:tcW w:type="dxa" w:w="61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Revue de sécurité, tests d'intrusion, gestion des incidents</w:t>
            </w:r>
          </w:p>
        </w:tc>
      </w:tr>
    </w:tbl>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10. Planning et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50"/>
      </w:tblGrid>
      <w:tr>
        <w:trPr>
          <w:tblHeader/>
        </w:trPr>
        <w:tc>
          <w:tcPr>
            <w:tcW w:type="dxa" w:w="22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Phase</w:t>
            </w:r>
          </w:p>
        </w:tc>
        <w:tc>
          <w:tcPr>
            <w:tcW w:type="dxa" w:w="49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Contenu</w:t>
            </w:r>
          </w:p>
        </w:tc>
        <w:tc>
          <w:tcPr>
            <w:tcW w:type="dxa" w:w="22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Durée indicative</w:t>
            </w:r>
          </w:p>
        </w:tc>
      </w:tr>
      <w:tr>
        <w:tc>
          <w:tcPr>
            <w:tcW w:type="dxa" w:w="2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Phase 0 — Cadrage</w:t>
            </w:r>
          </w:p>
        </w:tc>
        <w:tc>
          <w:tcPr>
            <w:tcW w:type="dxa" w:w="49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Validation du présent cahier des charges, maquettes UX/UI, spécifications détaillées</w:t>
            </w:r>
          </w:p>
        </w:tc>
        <w:tc>
          <w:tcPr>
            <w:tcW w:type="dxa" w:w="22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3 à 4 semaines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Phase 1 — MVP</w:t>
            </w:r>
          </w:p>
        </w:tc>
        <w:tc>
          <w:tcPr>
            <w:tcW w:type="dxa" w:w="49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Inscription/KYC, campagnes de don, paiement Wave/Orange Money, back-office minimal</w:t>
            </w:r>
          </w:p>
        </w:tc>
        <w:tc>
          <w:tcPr>
            <w:tcW w:type="dxa" w:w="22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10 à 12 semaines</w:t>
            </w:r>
          </w:p>
        </w:tc>
      </w:tr>
      <w:tr>
        <w:tc>
          <w:tcPr>
            <w:tcW w:type="dxa" w:w="2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Phase 2 — Version complète</w:t>
            </w:r>
          </w:p>
        </w:tc>
        <w:tc>
          <w:tcPr>
            <w:tcW w:type="dxa" w:w="49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Score Jappandale®, Passeport Financier, Guichet Unique, module investissement, app mobile</w:t>
            </w:r>
          </w:p>
        </w:tc>
        <w:tc>
          <w:tcPr>
            <w:tcW w:type="dxa" w:w="22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10 à 14 semaines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Phase 3 — Extension</w:t>
            </w:r>
          </w:p>
        </w:tc>
        <w:tc>
          <w:tcPr>
            <w:tcW w:type="dxa" w:w="49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Diaspora avancée, iOS, ouverture UEMOA élargie</w:t>
            </w:r>
          </w:p>
        </w:tc>
        <w:tc>
          <w:tcPr>
            <w:tcW w:type="dxa" w:w="22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à définir selon traction</w:t>
            </w:r>
          </w:p>
        </w:tc>
      </w:tr>
    </w:tbl>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11. Livrables attendus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Spécifications fonctionnelles détaillées et maquettes UX/UI validées.</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Code source complet, documenté, versionné (dépôt Git livré à YAMB International).</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Documentation technique d'architecture et guide de déploiement.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Plateforme déployée en environnement de production, staging et développement.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Manuel d'utilisation pour les administrateurs YAMB.</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Rapport de tests (fonctionnels, sécurité, charge) et plan de recette.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Plan de maintenance et de support post-lancement.</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12. Critères de recette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Conformité fonctionnelle à 100 % des exigences du chapitre 5 pour chaque phase livrée.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Tests de paiement réussis sur Wave et Orange Money en conditions réelles (transaction test).</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Test de charge validé sur le parcours d'inscription et de contribution.</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Audit de sécurité réalisé sans vulnérabilité critique ou majeure ouverte.</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Validation du parcours KYC par le référent conformité.</w:t>
      </w:r>
    </w:p>
    <w:p>
      <w:pPr>
        <w:pStyle w:val="ListParagraph"/>
        <w:numPr>
          <w:ilvl w:val="0"/>
          <w:numId w:val="2"/>
        </w:numPr>
        <w:spacing w:after="100"/>
      </w:pPr>
      <w:r>
        <w:rPr>
          <w:rFonts w:ascii="Calibri" w:cs="Calibri" w:eastAsia="Calibri" w:hAnsi="Calibri"/>
          <w:b/>
          <w:bCs/>
          <w:color w:val="111111"/>
          <w:sz w:val="21"/>
          <w:szCs w:val="21"/>
        </w:rPr>
        <w:t xml:space="preserve"/>
      </w:r>
      <w:r>
        <w:rPr>
          <w:rFonts w:ascii="Calibri" w:cs="Calibri" w:eastAsia="Calibri" w:hAnsi="Calibri"/>
          <w:sz w:val="21"/>
          <w:szCs w:val="21"/>
        </w:rPr>
        <w:t xml:space="preserve">Recette fonctionnelle signée par le Product Owner YAMB avant mise en production.</w:t>
      </w:r>
    </w:p>
    <w:p>
      <w:r>
        <w:br w:type="page"/>
      </w:r>
    </w:p>
    <w:p>
      <w:pPr>
        <w:pStyle w:val="Heading1"/>
        <w:pBdr>
          <w:bottom w:val="single" w:color="F5C400" w:sz="12" w:space="4"/>
        </w:pBdr>
        <w:spacing w:after="240" w:before="480"/>
      </w:pPr>
      <w:r>
        <w:rPr>
          <w:rFonts w:ascii="Calibri" w:cs="Calibri" w:eastAsia="Calibri" w:hAnsi="Calibri"/>
          <w:b/>
          <w:bCs/>
          <w:color w:val="111111"/>
          <w:sz w:val="30"/>
          <w:szCs w:val="30"/>
        </w:rPr>
        <w:t xml:space="preserve">13. Annexes</w:t>
      </w:r>
    </w:p>
    <w:p>
      <w:pPr>
        <w:pStyle w:val="Heading2"/>
        <w:spacing w:after="160" w:before="320"/>
      </w:pPr>
      <w:r>
        <w:rPr>
          <w:rFonts w:ascii="Calibri" w:cs="Calibri" w:eastAsia="Calibri" w:hAnsi="Calibri"/>
          <w:b/>
          <w:bCs/>
          <w:color w:val="111111"/>
          <w:sz w:val="24"/>
          <w:szCs w:val="24"/>
        </w:rPr>
        <w:t xml:space="preserve">13.1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Terme</w:t>
            </w:r>
          </w:p>
        </w:tc>
        <w:tc>
          <w:tcPr>
            <w:tcW w:type="dxa" w:w="6150"/>
            <w:shd w:fill="111111" w:val="clear"/>
            <w:tcMar>
              <w:top w:type="dxa" w:w="100"/>
              <w:left w:type="dxa" w:w="120"/>
              <w:bottom w:type="dxa" w:w="100"/>
              <w:right w:type="dxa" w:w="120"/>
            </w:tcMar>
            <w:vAlign w:val="center"/>
          </w:tcPr>
          <w:p>
            <w:r>
              <w:rPr>
                <w:rFonts w:ascii="Calibri" w:cs="Calibri" w:eastAsia="Calibri" w:hAnsi="Calibri"/>
                <w:b/>
                <w:bCs/>
                <w:color w:val="F5C400"/>
                <w:sz w:val="19"/>
                <w:szCs w:val="19"/>
              </w:rPr>
              <w:t xml:space="preserve">Définition</w:t>
            </w:r>
          </w:p>
        </w:tc>
      </w:tr>
      <w:tr>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Score Jappandale®</w:t>
            </w:r>
          </w:p>
        </w:tc>
        <w:tc>
          <w:tcPr>
            <w:tcW w:type="dxa" w:w="61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Système propriétaire de notation des porteurs de projets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Passeport Financier Jappandale®</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Historique financier consolidé et exportable d'un porteur de projet</w:t>
            </w:r>
          </w:p>
        </w:tc>
      </w:tr>
      <w:tr>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Guichet Unique du Financement</w:t>
            </w:r>
          </w:p>
        </w:tc>
        <w:tc>
          <w:tcPr>
            <w:tcW w:type="dxa" w:w="61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Référentiel centralisé des dispositifs de financement disponibles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KYC</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Know Your Customer — procédure de vérification d'identité</w:t>
            </w:r>
          </w:p>
        </w:tc>
      </w:tr>
      <w:tr>
        <w:tc>
          <w:tcPr>
            <w:tcW w:type="dxa" w:w="320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LBC-FT</w:t>
            </w:r>
          </w:p>
        </w:tc>
        <w:tc>
          <w:tcPr>
            <w:tcW w:type="dxa" w:w="6150"/>
            <w:shd w:fill="F7F7F7"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Lutte contre le blanchiment de capitaux et le financement du terrorisme</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UEMOA</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Union Économique et Monétaire Ouest-Africaine</w:t>
            </w:r>
          </w:p>
        </w:tc>
      </w:tr>
    </w:tbl>
    <w:p>
      <w:pPr>
        <w:pStyle w:val="Heading2"/>
        <w:spacing w:after="160" w:before="320"/>
      </w:pPr>
      <w:r>
        <w:rPr>
          <w:rFonts w:ascii="Calibri" w:cs="Calibri" w:eastAsia="Calibri" w:hAnsi="Calibri"/>
          <w:b/>
          <w:bCs/>
          <w:color w:val="111111"/>
          <w:sz w:val="24"/>
          <w:szCs w:val="24"/>
        </w:rPr>
        <w:t xml:space="preserve">13.2 Documents de référence</w:t>
      </w:r>
    </w:p>
    <w:p>
      <w:pPr>
        <w:spacing w:after="160" w:line="276"/>
        <w:jc w:val="both"/>
      </w:pPr>
      <w:r>
        <w:rPr>
          <w:rFonts w:ascii="Calibri" w:cs="Calibri" w:eastAsia="Calibri" w:hAnsi="Calibri"/>
          <w:b w:val="false"/>
          <w:bCs w:val="false"/>
          <w:i w:val="false"/>
          <w:iCs w:val="false"/>
          <w:color w:val="222222"/>
          <w:sz w:val="21"/>
          <w:szCs w:val="21"/>
        </w:rPr>
        <w:t xml:space="preserve">Le présent cahier des charges s'appuie sur le plan d'affaires Jappandale (14 chapitres) élaboré par YAMB International, qui reste le document de référence pour l'analyse de marché, le modèle économique et le plan financier détaillé du projet.</w:t>
      </w:r>
    </w:p>
    <w:p>
      <w:pPr>
        <w:pBdr>
          <w:top w:val="single" w:color="F5C400" w:sz="8" w:space="8"/>
        </w:pBdr>
        <w:spacing w:before="600"/>
      </w:pPr>
      <w:r>
        <w:rPr>
          <w:rFonts w:ascii="Calibri" w:cs="Calibri" w:eastAsia="Calibri" w:hAnsi="Calibri"/>
          <w:i/>
          <w:iCs/>
          <w:color w:val="555555"/>
          <w:sz w:val="16"/>
          <w:szCs w:val="16"/>
        </w:rPr>
        <w:t xml:space="preserve">YAMB International — Document confidentiel — Ne pas diffuser sans autorisation</w:t>
      </w:r>
    </w:p>
    <w:sectPr>
      <w:headerReference w:type="default" r:id="rId7"/>
      <w:footerReference w:type="default" r:id="rId8"/>
      <w:type w:val="nextPage"/>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4"/>
        <w:szCs w:val="14"/>
      </w:rPr>
      <w:t xml:space="preserve">YAMB International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400" w:sz="6" w:space="4"/>
      </w:pBdr>
    </w:pPr>
    <w:r>
      <w:rPr>
        <w:rFonts w:ascii="Calibri" w:cs="Calibri" w:eastAsia="Calibri" w:hAnsi="Calibri"/>
        <w:b/>
        <w:bCs/>
        <w:color w:val="555555"/>
        <w:sz w:val="14"/>
        <w:szCs w:val="14"/>
      </w:rPr>
      <w:t xml:space="preserve">JAPPANDALE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F5C400"/>
      </w:r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2026-07-05T06:28:08.654Z</dcterms:created>
  <dcterms:modified xsi:type="dcterms:W3CDTF">2026-07-05T06:28:08.654Z</dcterms:modified>
</cp:coreProperties>
</file>

<file path=docProps/custom.xml><?xml version="1.0" encoding="utf-8"?>
<Properties xmlns="http://schemas.openxmlformats.org/officeDocument/2006/custom-properties" xmlns:vt="http://schemas.openxmlformats.org/officeDocument/2006/docPropsVTypes"/>
</file>