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36F" w:rsidRDefault="00C657BF">
      <w:pPr>
        <w:spacing w:after="0" w:line="259" w:lineRule="auto"/>
        <w:ind w:left="0" w:right="8" w:firstLine="0"/>
        <w:jc w:val="center"/>
      </w:pPr>
      <w:r>
        <w:rPr>
          <w:b/>
          <w:sz w:val="22"/>
        </w:rPr>
        <w:t xml:space="preserve">SUPPLEMENTARY MATERIAL </w:t>
      </w:r>
    </w:p>
    <w:p w:rsidR="001C336F" w:rsidRDefault="00C657BF">
      <w:pPr>
        <w:spacing w:after="0" w:line="259" w:lineRule="auto"/>
        <w:ind w:left="58" w:right="0" w:firstLine="0"/>
        <w:jc w:val="center"/>
      </w:pPr>
      <w:r>
        <w:rPr>
          <w:b/>
          <w:sz w:val="22"/>
        </w:rPr>
        <w:t xml:space="preserve"> </w:t>
      </w:r>
    </w:p>
    <w:p w:rsidR="001C336F" w:rsidRDefault="00C657BF">
      <w:pPr>
        <w:pStyle w:val="1"/>
        <w:ind w:left="192" w:right="0"/>
      </w:pPr>
      <w:r>
        <w:t>The Electronic Medical Records and Genomics (</w:t>
      </w:r>
      <w:proofErr w:type="spellStart"/>
      <w:r>
        <w:t>eMERGE</w:t>
      </w:r>
      <w:proofErr w:type="spellEnd"/>
      <w:r>
        <w:t xml:space="preserve">) Network: Past, Present and Future </w:t>
      </w:r>
    </w:p>
    <w:p w:rsidR="001C336F" w:rsidRDefault="00C657BF">
      <w:pPr>
        <w:spacing w:after="112"/>
        <w:ind w:left="-5" w:right="0"/>
      </w:pPr>
      <w:proofErr w:type="spellStart"/>
      <w:r>
        <w:t>Omri</w:t>
      </w:r>
      <w:proofErr w:type="spellEnd"/>
      <w:r>
        <w:t xml:space="preserve"> Gottesman, MD, Helena </w:t>
      </w:r>
      <w:proofErr w:type="spellStart"/>
      <w:r>
        <w:t>Kuivaniemi</w:t>
      </w:r>
      <w:proofErr w:type="spellEnd"/>
      <w:r>
        <w:t xml:space="preserve">, MD, PhD, Gerard Tromp, PhD, W. Andrew </w:t>
      </w:r>
      <w:proofErr w:type="spellStart"/>
      <w:r>
        <w:t>Faucett</w:t>
      </w:r>
      <w:proofErr w:type="spellEnd"/>
      <w:r>
        <w:t xml:space="preserve">, MS, </w:t>
      </w:r>
      <w:proofErr w:type="spellStart"/>
      <w:r>
        <w:t>Rongling</w:t>
      </w:r>
      <w:proofErr w:type="spellEnd"/>
      <w:r>
        <w:t xml:space="preserve"> Li, MD, PhD, Teri A. </w:t>
      </w:r>
      <w:proofErr w:type="spellStart"/>
      <w:r>
        <w:t>Manolio</w:t>
      </w:r>
      <w:proofErr w:type="spellEnd"/>
      <w:r>
        <w:t xml:space="preserve">, MD, PhD, Saskia C. Sanderson, PhD, Joseph </w:t>
      </w:r>
      <w:proofErr w:type="spellStart"/>
      <w:r>
        <w:t>Kannry</w:t>
      </w:r>
      <w:proofErr w:type="spellEnd"/>
      <w:r>
        <w:t xml:space="preserve">, MD, Randi </w:t>
      </w:r>
      <w:proofErr w:type="spellStart"/>
      <w:r>
        <w:t>Zinberg</w:t>
      </w:r>
      <w:proofErr w:type="spellEnd"/>
      <w:r>
        <w:t>, MS, CGC, Melissa A. Basford, MBA, Murray Brilliant, PhD, D</w:t>
      </w:r>
      <w:r>
        <w:t xml:space="preserve">avid J. Carey, PhD, Rex L. Chisholm, PhD, Christopher G. Chute, MD, DrPH, John J. Connolly, MD, David </w:t>
      </w:r>
      <w:proofErr w:type="spellStart"/>
      <w:r>
        <w:t>Crosslin</w:t>
      </w:r>
      <w:proofErr w:type="spellEnd"/>
      <w:r>
        <w:t xml:space="preserve">, PhD, Joshua C. Denny, MD, Carlos J. Gallego, MD, Jonathan L. Haines, PhD, </w:t>
      </w:r>
      <w:proofErr w:type="spellStart"/>
      <w:r>
        <w:t>Hakon</w:t>
      </w:r>
      <w:proofErr w:type="spellEnd"/>
      <w:r>
        <w:t xml:space="preserve"> </w:t>
      </w:r>
      <w:proofErr w:type="spellStart"/>
      <w:r>
        <w:t>Hakonarson</w:t>
      </w:r>
      <w:proofErr w:type="spellEnd"/>
      <w:r>
        <w:t xml:space="preserve">, MD, PhD, John Harley, MD, PhD, Gail P. </w:t>
      </w:r>
      <w:proofErr w:type="spellStart"/>
      <w:r>
        <w:t>Jarvik</w:t>
      </w:r>
      <w:proofErr w:type="spellEnd"/>
      <w:r>
        <w:t>, MD, P</w:t>
      </w:r>
      <w:r>
        <w:t xml:space="preserve">hD, Isaac </w:t>
      </w:r>
      <w:proofErr w:type="spellStart"/>
      <w:r>
        <w:t>Kohane</w:t>
      </w:r>
      <w:proofErr w:type="spellEnd"/>
      <w:r>
        <w:t xml:space="preserve">, MD, PhD, Iftikhar J. </w:t>
      </w:r>
      <w:proofErr w:type="spellStart"/>
      <w:r>
        <w:t>Kullo</w:t>
      </w:r>
      <w:proofErr w:type="spellEnd"/>
      <w:r>
        <w:t xml:space="preserve">, MD, Eric B. Larson, MD, MPH, Catherine McCarty, PhD, MPH, Marylyn D. Ritchie, PhD, Dan </w:t>
      </w:r>
      <w:proofErr w:type="spellStart"/>
      <w:r>
        <w:t>Roden</w:t>
      </w:r>
      <w:proofErr w:type="spellEnd"/>
      <w:r>
        <w:t xml:space="preserve">, MD, Maureen E. Smith, MS, Erwin P. </w:t>
      </w:r>
      <w:proofErr w:type="spellStart"/>
      <w:r>
        <w:t>Böttinger</w:t>
      </w:r>
      <w:proofErr w:type="spellEnd"/>
      <w:r>
        <w:t>, MD, Marc S. Williams, MD</w:t>
      </w:r>
      <w:r>
        <w:rPr>
          <w:vertAlign w:val="superscript"/>
        </w:rPr>
        <w:t xml:space="preserve"> </w:t>
      </w:r>
      <w:r>
        <w:t>and</w:t>
      </w:r>
      <w:r>
        <w:rPr>
          <w:vertAlign w:val="superscript"/>
        </w:rPr>
        <w:t xml:space="preserve"> </w:t>
      </w:r>
      <w:r>
        <w:t xml:space="preserve">The </w:t>
      </w:r>
      <w:proofErr w:type="spellStart"/>
      <w:r>
        <w:t>eMERGE</w:t>
      </w:r>
      <w:proofErr w:type="spellEnd"/>
      <w:r>
        <w:t xml:space="preserve"> Network </w:t>
      </w:r>
    </w:p>
    <w:p w:rsidR="001C336F" w:rsidRDefault="00C657BF">
      <w:pPr>
        <w:spacing w:after="0" w:line="259" w:lineRule="auto"/>
        <w:ind w:left="0" w:right="0" w:firstLine="0"/>
        <w:jc w:val="left"/>
      </w:pPr>
      <w:r>
        <w:rPr>
          <w:b/>
        </w:rPr>
        <w:t xml:space="preserve"> </w:t>
      </w:r>
    </w:p>
    <w:p w:rsidR="001C336F" w:rsidRDefault="00C657BF">
      <w:pPr>
        <w:pStyle w:val="2"/>
        <w:ind w:left="-5"/>
      </w:pPr>
      <w:r>
        <w:t xml:space="preserve">DESCRIPTION OF </w:t>
      </w:r>
      <w:proofErr w:type="spellStart"/>
      <w:r>
        <w:t>eMER</w:t>
      </w:r>
      <w:r>
        <w:t>GE</w:t>
      </w:r>
      <w:proofErr w:type="spellEnd"/>
      <w:r>
        <w:t xml:space="preserve">-II SITES </w:t>
      </w:r>
    </w:p>
    <w:p w:rsidR="001C336F" w:rsidRDefault="00C657BF">
      <w:pPr>
        <w:ind w:left="-5" w:right="0"/>
      </w:pPr>
      <w:r>
        <w:t xml:space="preserve">Locations of the nine research groups, their affiliated sites, a coordinating center and the services and support centers constituting </w:t>
      </w:r>
      <w:proofErr w:type="spellStart"/>
      <w:r>
        <w:t>eMERGE</w:t>
      </w:r>
      <w:proofErr w:type="spellEnd"/>
      <w:r>
        <w:t xml:space="preserve">-II are shown in Figure 1. Outline of the activities of the </w:t>
      </w:r>
      <w:proofErr w:type="spellStart"/>
      <w:r>
        <w:t>eMERGE</w:t>
      </w:r>
      <w:proofErr w:type="spellEnd"/>
      <w:r>
        <w:t xml:space="preserve"> Network is shown in Figure 2 and th</w:t>
      </w:r>
      <w:r>
        <w:t xml:space="preserve">e organizational structure of the network is represented in Figure 3. In addition to the </w:t>
      </w:r>
      <w:proofErr w:type="spellStart"/>
      <w:r>
        <w:t>sitespecific</w:t>
      </w:r>
      <w:proofErr w:type="spellEnd"/>
      <w:r>
        <w:t xml:space="preserve"> information that follows, details of the biorepositories, EMR systems and genotyping projects are summarized in Table 1. The main aims of each site are li</w:t>
      </w:r>
      <w:r>
        <w:t xml:space="preserve">sted in Table S1 and the primary and secondary phenotypes selected by each site are shown in Table S2. </w:t>
      </w:r>
    </w:p>
    <w:p w:rsidR="001C336F" w:rsidRDefault="00C657BF">
      <w:pPr>
        <w:spacing w:after="18" w:line="259" w:lineRule="auto"/>
        <w:ind w:left="0" w:right="0" w:firstLine="0"/>
        <w:jc w:val="left"/>
      </w:pPr>
      <w:r>
        <w:rPr>
          <w:b/>
        </w:rPr>
        <w:t xml:space="preserve"> </w:t>
      </w:r>
    </w:p>
    <w:p w:rsidR="001C336F" w:rsidRDefault="00C657BF">
      <w:pPr>
        <w:pStyle w:val="2"/>
        <w:ind w:left="-5"/>
      </w:pPr>
      <w:r>
        <w:t xml:space="preserve">Cincinnati Children’s Hospital Medical Center (CCHMC) and Boston Children’s Hospital (BCH) </w:t>
      </w:r>
    </w:p>
    <w:p w:rsidR="001C336F" w:rsidRDefault="00C657BF">
      <w:pPr>
        <w:ind w:left="-5" w:right="0"/>
      </w:pPr>
      <w:r>
        <w:t xml:space="preserve">CCHMC and BCH have combined their efforts to be a single </w:t>
      </w:r>
      <w:proofErr w:type="spellStart"/>
      <w:r>
        <w:t>e</w:t>
      </w:r>
      <w:r>
        <w:t>MERGE</w:t>
      </w:r>
      <w:proofErr w:type="spellEnd"/>
      <w:r>
        <w:t xml:space="preserve"> site. Their biobank solutions differ. </w:t>
      </w:r>
    </w:p>
    <w:p w:rsidR="001C336F" w:rsidRDefault="00C657BF">
      <w:pPr>
        <w:ind w:left="-5" w:right="0"/>
      </w:pPr>
      <w:r>
        <w:t>CCHMC now obtains “opt-in” consent at outpatient and inpatient CCHMC patient registration for permission to use in research those biological materials that would otherwise be discarded. At this point there are n</w:t>
      </w:r>
      <w:r>
        <w:t>early 15,000 cryopreserved tissues and 15,000 DNA samples being stored. The DNA samples are accumulating at a pace of over 2000 per month. BCH is enrolling 10,000 children and family members into The Gene Partnership with samples being collected and a broa</w:t>
      </w:r>
      <w:r>
        <w:t xml:space="preserve">d consent to return results, including a web-based interface that presents results to patients and their guardians. This collection at BCH will be participating in many studies of the return of results. </w:t>
      </w:r>
    </w:p>
    <w:p w:rsidR="001C336F" w:rsidRDefault="00C657BF">
      <w:pPr>
        <w:ind w:left="-15" w:right="0" w:firstLine="720"/>
      </w:pPr>
      <w:r>
        <w:t>The combination of institutions into one site provid</w:t>
      </w:r>
      <w:r>
        <w:t xml:space="preserve">es BCH and CCHMC the opportunity to coordinate and solve problems between institutions so that the extension of algorithms to other </w:t>
      </w:r>
      <w:proofErr w:type="spellStart"/>
      <w:r>
        <w:t>eMERGE</w:t>
      </w:r>
      <w:proofErr w:type="spellEnd"/>
      <w:r>
        <w:t xml:space="preserve"> institutions will be simpler. The first goal is to construct the informatic infrastructure that will allow rapid appl</w:t>
      </w:r>
      <w:r>
        <w:t xml:space="preserve">ication of algorithms developed at one institution rapidly at the other.  </w:t>
      </w:r>
    </w:p>
    <w:p w:rsidR="001C336F" w:rsidRDefault="00C657BF">
      <w:pPr>
        <w:ind w:left="-5" w:right="0"/>
      </w:pPr>
      <w:r>
        <w:t xml:space="preserve">This CCHMC/BCH </w:t>
      </w:r>
      <w:proofErr w:type="spellStart"/>
      <w:r>
        <w:t>eMERGE</w:t>
      </w:r>
      <w:proofErr w:type="spellEnd"/>
      <w:r>
        <w:t xml:space="preserve"> II site is built on a five-year history of collaboration, particularly in patient </w:t>
      </w:r>
      <w:proofErr w:type="spellStart"/>
      <w:r>
        <w:t>EMRrelated</w:t>
      </w:r>
      <w:proofErr w:type="spellEnd"/>
      <w:r>
        <w:t xml:space="preserve"> informatics, the basis of much of </w:t>
      </w:r>
      <w:proofErr w:type="spellStart"/>
      <w:r>
        <w:t>eMERGE</w:t>
      </w:r>
      <w:proofErr w:type="spellEnd"/>
      <w:r>
        <w:t xml:space="preserve"> II. All CCHMC/BCH site GW</w:t>
      </w:r>
      <w:r>
        <w:t>AS and EMR data are linked to a shared data warehouse platform, i2b2,</w:t>
      </w:r>
      <w:r>
        <w:rPr>
          <w:vertAlign w:val="superscript"/>
        </w:rPr>
        <w:t>1-4</w:t>
      </w:r>
      <w:r>
        <w:t xml:space="preserve"> and are made available for analyses in a shared Genome-Wide Association Database, GWADB. GWAS data are derived from a variety of sources including clinical service </w:t>
      </w:r>
    </w:p>
    <w:p w:rsidR="001C336F" w:rsidRDefault="00C657BF">
      <w:pPr>
        <w:ind w:left="-5" w:right="0"/>
      </w:pPr>
      <w:r>
        <w:t xml:space="preserve">(cytogenetics), normal control, </w:t>
      </w:r>
      <w:proofErr w:type="gramStart"/>
      <w:r>
        <w:t>investigator initiated</w:t>
      </w:r>
      <w:proofErr w:type="gramEnd"/>
      <w:r>
        <w:t xml:space="preserve"> phenotype-specific studies, and the BCH Research Connection – The Gene Partnership (TGP), an initiative focused on understanding the root causes of complex diseases. Under development is a combined EMR</w:t>
      </w:r>
      <w:r>
        <w:t xml:space="preserve"> view of subjects with defined phenotypes from i2b2 using a modification of the SHRINE</w:t>
      </w:r>
      <w:r>
        <w:rPr>
          <w:vertAlign w:val="superscript"/>
        </w:rPr>
        <w:t>5</w:t>
      </w:r>
      <w:r>
        <w:t xml:space="preserve"> distributed query system. This will enable cross-institutional real-time patient selection that scales nationally.  </w:t>
      </w:r>
    </w:p>
    <w:p w:rsidR="001C336F" w:rsidRDefault="00C657BF">
      <w:pPr>
        <w:ind w:left="-15" w:right="0" w:firstLine="720"/>
      </w:pPr>
      <w:r>
        <w:t>Early childhood severe obesity (2 through 5 years o</w:t>
      </w:r>
      <w:r>
        <w:t>ld) has been chosen as a phenotype thinking that early onset disease is more likely to be less complex and therefore more genetically homogeneous than the adult forms of severe obesity the analysis of which has required enormous numbers of cases and the fi</w:t>
      </w:r>
      <w:r>
        <w:t xml:space="preserve">nding of many genes with modest effects. The obesity epidemic is also affecting these children. At CCHMC there are more than 3000 children who appear to satisfy the preliminary criteria for inclusion and are in the top 0.1% for BMI by WHO criteria.  </w:t>
      </w:r>
    </w:p>
    <w:p w:rsidR="001C336F" w:rsidRDefault="00C657BF">
      <w:pPr>
        <w:ind w:left="-15" w:right="0" w:firstLine="720"/>
      </w:pPr>
      <w:r>
        <w:t>Autis</w:t>
      </w:r>
      <w:r>
        <w:t xml:space="preserve">m is afflicting American children at an astonishingly increasing frequency. CCHMC and BCH both have large clinics and gifted clinicians attempting to manage and ameliorate the serious problems that these children and their families have. This is a complex </w:t>
      </w:r>
      <w:r>
        <w:t xml:space="preserve">phenotype for algorithm development. The complexity is used to apply both heuristic and machine learning approaches are being applied to explore the genetics of this condition. </w:t>
      </w:r>
    </w:p>
    <w:p w:rsidR="001C336F" w:rsidRDefault="00C657BF">
      <w:pPr>
        <w:ind w:left="-15" w:right="0" w:firstLine="720"/>
      </w:pPr>
      <w:r>
        <w:t>For secondary phenotypes, the CCHMC/BCH site is preparing to apply the algorit</w:t>
      </w:r>
      <w:r>
        <w:t xml:space="preserve">hms for asthma and type 2 diabetes, both of which are serious problems in childhood. </w:t>
      </w:r>
    </w:p>
    <w:p w:rsidR="001C336F" w:rsidRDefault="00C657BF">
      <w:pPr>
        <w:spacing w:after="0" w:line="259" w:lineRule="auto"/>
        <w:ind w:left="720" w:right="0" w:firstLine="0"/>
        <w:jc w:val="left"/>
      </w:pPr>
      <w:r>
        <w:t xml:space="preserve"> </w:t>
      </w:r>
    </w:p>
    <w:p w:rsidR="001C336F" w:rsidRDefault="00C657BF">
      <w:pPr>
        <w:numPr>
          <w:ilvl w:val="0"/>
          <w:numId w:val="1"/>
        </w:numPr>
        <w:ind w:right="0" w:hanging="360"/>
      </w:pPr>
      <w:proofErr w:type="spellStart"/>
      <w:r>
        <w:lastRenderedPageBreak/>
        <w:t>Kohane</w:t>
      </w:r>
      <w:proofErr w:type="spellEnd"/>
      <w:r>
        <w:t xml:space="preserve"> IS, Churchill SE, Murphy SN. A translational engine at the national scale: informatics for integrating biology and the bedside. J Am Med Inform Assoc. </w:t>
      </w:r>
      <w:proofErr w:type="gramStart"/>
      <w:r>
        <w:t>2012;19:18</w:t>
      </w:r>
      <w:r>
        <w:t>1</w:t>
      </w:r>
      <w:proofErr w:type="gramEnd"/>
      <w:r>
        <w:t xml:space="preserve">-185. </w:t>
      </w:r>
    </w:p>
    <w:p w:rsidR="001C336F" w:rsidRDefault="00C657BF">
      <w:pPr>
        <w:numPr>
          <w:ilvl w:val="0"/>
          <w:numId w:val="1"/>
        </w:numPr>
        <w:ind w:right="0" w:hanging="360"/>
      </w:pPr>
      <w:r>
        <w:t xml:space="preserve">Murphy S, Churchill S, </w:t>
      </w:r>
      <w:proofErr w:type="spellStart"/>
      <w:r>
        <w:t>Bry</w:t>
      </w:r>
      <w:proofErr w:type="spellEnd"/>
      <w:r>
        <w:t xml:space="preserve"> L, </w:t>
      </w:r>
      <w:proofErr w:type="spellStart"/>
      <w:r>
        <w:t>Chueh</w:t>
      </w:r>
      <w:proofErr w:type="spellEnd"/>
      <w:r>
        <w:t xml:space="preserve"> H, Weiss S, Lazarus R, et al. Instrumenting the health care enterprise for discovery research in the genomic era. Genome Res. </w:t>
      </w:r>
      <w:proofErr w:type="gramStart"/>
      <w:r>
        <w:t>2009;19:1675</w:t>
      </w:r>
      <w:proofErr w:type="gramEnd"/>
      <w:r>
        <w:t xml:space="preserve">-1681. </w:t>
      </w:r>
    </w:p>
    <w:p w:rsidR="001C336F" w:rsidRDefault="00C657BF">
      <w:pPr>
        <w:numPr>
          <w:ilvl w:val="0"/>
          <w:numId w:val="1"/>
        </w:numPr>
        <w:ind w:right="0" w:hanging="360"/>
      </w:pPr>
      <w:proofErr w:type="spellStart"/>
      <w:r>
        <w:t>Kohane</w:t>
      </w:r>
      <w:proofErr w:type="spellEnd"/>
      <w:r>
        <w:t xml:space="preserve"> IS. Using electronic health records to drive discovery in d</w:t>
      </w:r>
      <w:r>
        <w:t xml:space="preserve">isease genomics. Nat Rev Genet. </w:t>
      </w:r>
      <w:proofErr w:type="gramStart"/>
      <w:r>
        <w:t>2011;12:417</w:t>
      </w:r>
      <w:proofErr w:type="gramEnd"/>
      <w:r>
        <w:t xml:space="preserve">-428. </w:t>
      </w:r>
    </w:p>
    <w:p w:rsidR="001C336F" w:rsidRDefault="00C657BF">
      <w:pPr>
        <w:numPr>
          <w:ilvl w:val="0"/>
          <w:numId w:val="1"/>
        </w:numPr>
        <w:ind w:right="0" w:hanging="360"/>
      </w:pPr>
      <w:proofErr w:type="spellStart"/>
      <w:r>
        <w:t>Kurreeman</w:t>
      </w:r>
      <w:proofErr w:type="spellEnd"/>
      <w:r>
        <w:t xml:space="preserve"> F, Liao K, </w:t>
      </w:r>
      <w:proofErr w:type="spellStart"/>
      <w:r>
        <w:t>Chibnik</w:t>
      </w:r>
      <w:proofErr w:type="spellEnd"/>
      <w:r>
        <w:t xml:space="preserve"> L, Hickey B, Stahl E, Gainer V, et al. Genetic basis of autoantibody positive and negative rheumatoid arthritis risk in a multi-ethnic cohort derived from electronic health reco</w:t>
      </w:r>
      <w:r>
        <w:t xml:space="preserve">rds. Am J Hum Genet. </w:t>
      </w:r>
      <w:proofErr w:type="gramStart"/>
      <w:r>
        <w:t>2011;88:57</w:t>
      </w:r>
      <w:proofErr w:type="gramEnd"/>
      <w:r>
        <w:t xml:space="preserve">-69. </w:t>
      </w:r>
    </w:p>
    <w:p w:rsidR="001C336F" w:rsidRDefault="00C657BF">
      <w:pPr>
        <w:numPr>
          <w:ilvl w:val="0"/>
          <w:numId w:val="1"/>
        </w:numPr>
        <w:ind w:right="0" w:hanging="360"/>
      </w:pPr>
      <w:r>
        <w:t xml:space="preserve">Weber GM, Murphy SN, McMurry AJ, </w:t>
      </w:r>
      <w:proofErr w:type="spellStart"/>
      <w:r>
        <w:t>Macfadden</w:t>
      </w:r>
      <w:proofErr w:type="spellEnd"/>
      <w:r>
        <w:t xml:space="preserve"> D, Nigrin DJ, Churchill S, et al. The Shared Health Research Information Network (SHRINE): A prototype federated query tool for clinical data repositories. J Am Med Inform Asso</w:t>
      </w:r>
      <w:r>
        <w:t xml:space="preserve">c. </w:t>
      </w:r>
      <w:proofErr w:type="gramStart"/>
      <w:r>
        <w:t>2009;16:624</w:t>
      </w:r>
      <w:proofErr w:type="gramEnd"/>
      <w:r>
        <w:t xml:space="preserve">-630. </w:t>
      </w:r>
    </w:p>
    <w:p w:rsidR="001C336F" w:rsidRDefault="00C657BF">
      <w:pPr>
        <w:spacing w:after="0" w:line="259" w:lineRule="auto"/>
        <w:ind w:left="0" w:right="0" w:firstLine="0"/>
        <w:jc w:val="left"/>
      </w:pPr>
      <w:r>
        <w:rPr>
          <w:b/>
        </w:rPr>
        <w:t xml:space="preserve"> </w:t>
      </w:r>
    </w:p>
    <w:p w:rsidR="001C336F" w:rsidRDefault="00C657BF">
      <w:pPr>
        <w:pStyle w:val="2"/>
        <w:ind w:left="-5"/>
      </w:pPr>
      <w:r>
        <w:t xml:space="preserve">The Children’s Hospital of Philadelphia (CHOP) </w:t>
      </w:r>
    </w:p>
    <w:p w:rsidR="001C336F" w:rsidRDefault="00C657BF">
      <w:pPr>
        <w:spacing w:after="55"/>
        <w:ind w:left="-5" w:right="0"/>
      </w:pPr>
      <w:r>
        <w:t>The Center for Applied Genomics (CAG) at The Children’s Hospital of Philadelphia (CHOP) has established one of the world’s largest pediatric biorepository and is actively working on ove</w:t>
      </w:r>
      <w:r>
        <w:t>r 50 medical disorders affecting children from birth to age 21. Recruitment—maintained by a staff of ten full-time nurses and phlebotomists—is primarily population-based, though a number of disease-specific efforts run concurrently. The CAG biorepository c</w:t>
      </w:r>
      <w:r>
        <w:t>urrently totals &gt;70,000 internal samples, including &gt;5,000 complete trios. We maintain an additional 100,000 samples through collaborative projects, including several thousand trios. The biorepository is growing at a rate of 12-15,000 samples per year. All</w:t>
      </w:r>
      <w:r>
        <w:t xml:space="preserve"> samples/data are encrypted and barcoded at point-of-contact. More than 85% of participants consent/assent to re-contact to participate in further studies. All (internal) participants consent/assent to retrospective and prospective access to longitudinal E</w:t>
      </w:r>
      <w:r>
        <w:t>MRs. EMRs are handled through EpicCare®—in place in CHOP since 2001—and the mean length of EMRs for repository participants is &gt;5.5 years. EMRs are enriched by data from a range of internal projects, including a follow-up study of 10,000 biorepository part</w:t>
      </w:r>
      <w:r>
        <w:t xml:space="preserve">icipants who completed a 3-hour neurobehavioral battery, and 1,500 of whom completed a neuroimaging study. In </w:t>
      </w:r>
      <w:proofErr w:type="gramStart"/>
      <w:r>
        <w:t>addition</w:t>
      </w:r>
      <w:proofErr w:type="gramEnd"/>
      <w:r>
        <w:t xml:space="preserve"> all participants complete an enrollment questionnaire that includes self-reported demographic, health, and </w:t>
      </w:r>
      <w:proofErr w:type="spellStart"/>
      <w:r>
        <w:t>familyhistory</w:t>
      </w:r>
      <w:proofErr w:type="spellEnd"/>
      <w:r>
        <w:t xml:space="preserve"> data. Samples ar</w:t>
      </w:r>
      <w:r>
        <w:t>e stored and managed by a robotic-based system from REMP (</w:t>
      </w:r>
      <w:proofErr w:type="spellStart"/>
      <w:r>
        <w:t>Oberdiessbach</w:t>
      </w:r>
      <w:proofErr w:type="spellEnd"/>
      <w:r>
        <w:t>, Switzerland), which facilitates rapid data share and dramatically reduces the potential for placement/calling errors. More than 99% of samples are available for re-genotyping under CL</w:t>
      </w:r>
      <w:r>
        <w:t>IA/CAP certification or next-generation sequencing. The Center’s analytical capabilities are designed to identify genetic variants across a spectrum of medical disorders and we have active projects on &gt;50 disease areas. The biorepository is notable for its</w:t>
      </w:r>
      <w:r>
        <w:t xml:space="preserve"> large proportion (43%) of African American samples.  </w:t>
      </w:r>
    </w:p>
    <w:p w:rsidR="001C336F" w:rsidRDefault="00C657BF">
      <w:pPr>
        <w:ind w:left="-15" w:right="0" w:firstLine="720"/>
      </w:pPr>
      <w:r>
        <w:t xml:space="preserve">The primary objectives of the CHOP </w:t>
      </w:r>
      <w:proofErr w:type="spellStart"/>
      <w:r>
        <w:t>eMERGE</w:t>
      </w:r>
      <w:proofErr w:type="spellEnd"/>
      <w:r>
        <w:t xml:space="preserve"> project are 1) to build upon existing </w:t>
      </w:r>
      <w:proofErr w:type="spellStart"/>
      <w:r>
        <w:t>eMERGE</w:t>
      </w:r>
      <w:proofErr w:type="spellEnd"/>
      <w:r>
        <w:t xml:space="preserve"> initiatives to adapt phenotype algorithms relevant to pediatric cohorts (lipids being the primary phenotype in thi</w:t>
      </w:r>
      <w:r>
        <w:t>s regard), 2) to define novel phenotypes with relevance to adult and pediatric cohorts (asthma, attention deficit hyperactivity disorder, atopic dermatitis, and gastroesophageal reflux disease are primary phenotypes in this regard), 3) to conduct GWAS with</w:t>
      </w:r>
      <w:r>
        <w:t xml:space="preserve"> minimal risks to patient privacy from sharing of EMR data, 4) to develop consent and community consultation procedures for conducting research, and 5) to begin incorporating genomic research results into clinical care.</w:t>
      </w:r>
      <w:r>
        <w:rPr>
          <w:b/>
        </w:rPr>
        <w:t xml:space="preserve"> </w:t>
      </w:r>
    </w:p>
    <w:p w:rsidR="001C336F" w:rsidRDefault="00C657BF">
      <w:pPr>
        <w:spacing w:after="0" w:line="259" w:lineRule="auto"/>
        <w:ind w:left="0" w:right="0" w:firstLine="0"/>
        <w:jc w:val="left"/>
      </w:pPr>
      <w:r>
        <w:rPr>
          <w:b/>
        </w:rPr>
        <w:t xml:space="preserve"> </w:t>
      </w:r>
    </w:p>
    <w:p w:rsidR="001C336F" w:rsidRDefault="00C657BF">
      <w:pPr>
        <w:pStyle w:val="2"/>
        <w:ind w:left="-5"/>
      </w:pPr>
      <w:r>
        <w:t xml:space="preserve">Geisinger Health System </w:t>
      </w:r>
    </w:p>
    <w:p w:rsidR="001C336F" w:rsidRDefault="00C657BF">
      <w:pPr>
        <w:ind w:left="-5" w:right="0"/>
      </w:pPr>
      <w:r>
        <w:t>Geisinge</w:t>
      </w:r>
      <w:r>
        <w:t>r Health System (GHS) is an integrated, comprehensive health care delivery system that serves a large, stable, mainly rural population in north central and northeastern Pennsylvania. Geisinger has a fully functional and integrated EMR system, and is a reco</w:t>
      </w:r>
      <w:r>
        <w:t xml:space="preserve">gnized leader in the use of EMR and health information technology. To leverage the health system’s assets for genomic medicine in 2006 Geisinger launched a biobanking program, the </w:t>
      </w:r>
      <w:proofErr w:type="spellStart"/>
      <w:r>
        <w:t>MyCode</w:t>
      </w:r>
      <w:proofErr w:type="spellEnd"/>
      <w:r>
        <w:t xml:space="preserve">® project, a central repository of patient samples (blood, DNA, serum </w:t>
      </w:r>
      <w:r>
        <w:t>and tissue) that are linkable to EMR for broad research use in a manner that protects confidentiality of patient information.</w:t>
      </w:r>
      <w:r>
        <w:rPr>
          <w:vertAlign w:val="superscript"/>
        </w:rPr>
        <w:t>1</w:t>
      </w:r>
      <w:r>
        <w:t xml:space="preserve"> </w:t>
      </w:r>
    </w:p>
    <w:p w:rsidR="001C336F" w:rsidRDefault="00C657BF">
      <w:pPr>
        <w:spacing w:after="3" w:line="245" w:lineRule="auto"/>
        <w:ind w:left="0" w:right="7" w:firstLine="720"/>
        <w:jc w:val="left"/>
      </w:pPr>
      <w:r>
        <w:t xml:space="preserve">The goals of the Geisinger </w:t>
      </w:r>
      <w:proofErr w:type="spellStart"/>
      <w:r>
        <w:t>eGenomic</w:t>
      </w:r>
      <w:proofErr w:type="spellEnd"/>
      <w:r>
        <w:t xml:space="preserve"> Medicine (</w:t>
      </w:r>
      <w:proofErr w:type="spellStart"/>
      <w:r>
        <w:t>GeM</w:t>
      </w:r>
      <w:proofErr w:type="spellEnd"/>
      <w:r>
        <w:t>) Program are to: 1) Identify genetic variants associated with abdominal aortic aneurysm (AAA),</w:t>
      </w:r>
      <w:r>
        <w:rPr>
          <w:vertAlign w:val="superscript"/>
        </w:rPr>
        <w:t xml:space="preserve">2 </w:t>
      </w:r>
      <w:r>
        <w:t>extreme obesity,</w:t>
      </w:r>
      <w:r>
        <w:rPr>
          <w:vertAlign w:val="superscript"/>
        </w:rPr>
        <w:t>3</w:t>
      </w:r>
      <w:r>
        <w:t xml:space="preserve"> and related conditions; 2) Develop approaches to incorporate genomic data into clinical care</w:t>
      </w:r>
      <w:r>
        <w:t>, using EMR-based clinical decision support tools; and 3) Identify sociocultural concerns of patients residing in rural areas regarding return of genetic findings, and provide patient and physician education. The strategy for integration of genetic data in</w:t>
      </w:r>
      <w:r>
        <w:t xml:space="preserve">to EMR is modeled on </w:t>
      </w:r>
      <w:r>
        <w:lastRenderedPageBreak/>
        <w:t>processes developed by Geisinger’s Clinical Transformation Team, a dedicated department devoted to creating IT-enabled improvements in patient care. A “Care Gaps” strategy is used, in which clinical areas are evaluated to identify IT p</w:t>
      </w:r>
      <w:r>
        <w:t xml:space="preserve">rocesses that can be incorporated into the EMR to improve patient care. Geisinger’s ELSI Advisory Committee will develop policies and guidelines in conjunction with the </w:t>
      </w:r>
      <w:proofErr w:type="spellStart"/>
      <w:r>
        <w:t>eMERGE</w:t>
      </w:r>
      <w:proofErr w:type="spellEnd"/>
      <w:r>
        <w:t xml:space="preserve"> Network and NHGRI for return of results to participants. It will also create edu</w:t>
      </w:r>
      <w:r>
        <w:t xml:space="preserve">cational materials for participants and clinicians. </w:t>
      </w:r>
    </w:p>
    <w:p w:rsidR="001C336F" w:rsidRDefault="00C657BF">
      <w:pPr>
        <w:spacing w:after="0" w:line="259" w:lineRule="auto"/>
        <w:ind w:left="0" w:right="0" w:firstLine="0"/>
        <w:jc w:val="left"/>
      </w:pPr>
      <w:r>
        <w:t xml:space="preserve"> </w:t>
      </w:r>
    </w:p>
    <w:p w:rsidR="001C336F" w:rsidRDefault="00C657BF">
      <w:pPr>
        <w:numPr>
          <w:ilvl w:val="0"/>
          <w:numId w:val="2"/>
        </w:numPr>
        <w:spacing w:after="3" w:line="245" w:lineRule="auto"/>
        <w:ind w:right="7" w:hanging="360"/>
        <w:jc w:val="left"/>
      </w:pPr>
      <w:r>
        <w:t xml:space="preserve">Gerhard GS, Carey DJ, Steele GD, Jr. Electronic Health Records in Genomic Medicine. In: Willard HF, Ginsburg GS, eds. </w:t>
      </w:r>
      <w:r>
        <w:rPr>
          <w:i/>
        </w:rPr>
        <w:t>Genomic and Personalized Medicine.</w:t>
      </w:r>
      <w:r>
        <w:t xml:space="preserve"> Vol 1. 2 ed. Waltham, MA: Academic Press; 2013:2</w:t>
      </w:r>
      <w:r>
        <w:t>87-294.</w:t>
      </w:r>
      <w:r>
        <w:rPr>
          <w:b/>
        </w:rPr>
        <w:t xml:space="preserve"> </w:t>
      </w:r>
    </w:p>
    <w:p w:rsidR="001C336F" w:rsidRDefault="00C657BF">
      <w:pPr>
        <w:numPr>
          <w:ilvl w:val="0"/>
          <w:numId w:val="2"/>
        </w:numPr>
        <w:spacing w:after="3" w:line="245" w:lineRule="auto"/>
        <w:ind w:right="7" w:hanging="360"/>
        <w:jc w:val="left"/>
      </w:pPr>
      <w:proofErr w:type="spellStart"/>
      <w:r>
        <w:t>Gretarsdottir</w:t>
      </w:r>
      <w:proofErr w:type="spellEnd"/>
      <w:r>
        <w:t xml:space="preserve"> S, Baas AF, </w:t>
      </w:r>
      <w:proofErr w:type="spellStart"/>
      <w:r>
        <w:t>Thorleifsson</w:t>
      </w:r>
      <w:proofErr w:type="spellEnd"/>
      <w:r>
        <w:t xml:space="preserve"> G, et al. Genome-wide association study identifies a sequence variant within the </w:t>
      </w:r>
      <w:r>
        <w:rPr>
          <w:i/>
        </w:rPr>
        <w:t>DAB2IP</w:t>
      </w:r>
      <w:r>
        <w:t xml:space="preserve"> </w:t>
      </w:r>
      <w:r>
        <w:t xml:space="preserve">gene conferring susceptibility to abdominal aortic aneurysm. Nat Genet. </w:t>
      </w:r>
      <w:proofErr w:type="gramStart"/>
      <w:r>
        <w:t>2010;42:692</w:t>
      </w:r>
      <w:proofErr w:type="gramEnd"/>
      <w:r>
        <w:t>-697</w:t>
      </w:r>
      <w:r>
        <w:rPr>
          <w:rFonts w:ascii="Times New Roman" w:eastAsia="Times New Roman" w:hAnsi="Times New Roman" w:cs="Times New Roman"/>
          <w:sz w:val="24"/>
        </w:rPr>
        <w:t>.</w:t>
      </w:r>
      <w:r>
        <w:rPr>
          <w:b/>
        </w:rPr>
        <w:t xml:space="preserve"> </w:t>
      </w:r>
    </w:p>
    <w:p w:rsidR="001C336F" w:rsidRDefault="00C657BF">
      <w:pPr>
        <w:numPr>
          <w:ilvl w:val="0"/>
          <w:numId w:val="2"/>
        </w:numPr>
        <w:spacing w:after="273"/>
        <w:ind w:right="7" w:hanging="360"/>
        <w:jc w:val="left"/>
      </w:pPr>
      <w:r>
        <w:t xml:space="preserve">Wood GC, Chu X, Manney C, </w:t>
      </w:r>
      <w:proofErr w:type="spellStart"/>
      <w:r>
        <w:t>Strodel</w:t>
      </w:r>
      <w:proofErr w:type="spellEnd"/>
      <w:r>
        <w:t xml:space="preserve"> W, </w:t>
      </w:r>
      <w:proofErr w:type="spellStart"/>
      <w:r>
        <w:t>Petrick</w:t>
      </w:r>
      <w:proofErr w:type="spellEnd"/>
      <w:r>
        <w:t xml:space="preserve"> A, </w:t>
      </w:r>
      <w:proofErr w:type="spellStart"/>
      <w:r>
        <w:t>Gabrielsen</w:t>
      </w:r>
      <w:proofErr w:type="spellEnd"/>
      <w:r>
        <w:t xml:space="preserve"> J, Seiler J, Carey D, </w:t>
      </w:r>
      <w:proofErr w:type="spellStart"/>
      <w:r>
        <w:t>Argyropoulos</w:t>
      </w:r>
      <w:proofErr w:type="spellEnd"/>
      <w:r>
        <w:t xml:space="preserve"> G, </w:t>
      </w:r>
      <w:proofErr w:type="spellStart"/>
      <w:r>
        <w:t>Benotti</w:t>
      </w:r>
      <w:proofErr w:type="spellEnd"/>
      <w:r>
        <w:t xml:space="preserve"> P, Still CD, Gerhard GS. An electronic health record-enabled </w:t>
      </w:r>
      <w:r>
        <w:t xml:space="preserve">obesity database. BMC Med Inform </w:t>
      </w:r>
      <w:proofErr w:type="spellStart"/>
      <w:r>
        <w:t>Decis</w:t>
      </w:r>
      <w:proofErr w:type="spellEnd"/>
      <w:r>
        <w:t xml:space="preserve"> </w:t>
      </w:r>
      <w:proofErr w:type="spellStart"/>
      <w:r>
        <w:t>Mak</w:t>
      </w:r>
      <w:proofErr w:type="spellEnd"/>
      <w:r>
        <w:t xml:space="preserve"> </w:t>
      </w:r>
      <w:proofErr w:type="gramStart"/>
      <w:r>
        <w:t>2012;12:45</w:t>
      </w:r>
      <w:proofErr w:type="gramEnd"/>
      <w:r>
        <w:t xml:space="preserve">. </w:t>
      </w:r>
    </w:p>
    <w:p w:rsidR="001C336F" w:rsidRDefault="00C657BF">
      <w:pPr>
        <w:spacing w:after="0" w:line="259" w:lineRule="auto"/>
        <w:ind w:left="0" w:right="0" w:firstLine="0"/>
        <w:jc w:val="left"/>
      </w:pPr>
      <w:r>
        <w:rPr>
          <w:b/>
        </w:rPr>
        <w:t xml:space="preserve"> </w:t>
      </w:r>
    </w:p>
    <w:p w:rsidR="001C336F" w:rsidRDefault="00C657BF">
      <w:pPr>
        <w:ind w:left="-5" w:right="0"/>
      </w:pPr>
      <w:r>
        <w:rPr>
          <w:b/>
        </w:rPr>
        <w:t xml:space="preserve">Group Health Cooperative, University of Washington and the Fred Hutchinson Cancer Research Center </w:t>
      </w:r>
      <w:proofErr w:type="gramStart"/>
      <w:r>
        <w:t>The</w:t>
      </w:r>
      <w:proofErr w:type="gramEnd"/>
      <w:r>
        <w:t xml:space="preserve"> Group Health (GH) biobank for </w:t>
      </w:r>
      <w:proofErr w:type="spellStart"/>
      <w:r>
        <w:t>eMERGE</w:t>
      </w:r>
      <w:proofErr w:type="spellEnd"/>
      <w:r>
        <w:t xml:space="preserve"> II utilizes patients enrolled at Group Health Cooperative, </w:t>
      </w:r>
      <w:r>
        <w:t xml:space="preserve">a large, regional, integrated delivery system based in Seattle, Washington, serving more than 620,000 persons. The GH </w:t>
      </w:r>
      <w:proofErr w:type="spellStart"/>
      <w:r>
        <w:t>eMERGE</w:t>
      </w:r>
      <w:proofErr w:type="spellEnd"/>
      <w:r>
        <w:t xml:space="preserve"> biobank includes subjects aged &gt; 50 years from two ongoing biorepositories at GH: 1) the Alzheimer’s disease Patient Registry/Adult</w:t>
      </w:r>
      <w:r>
        <w:t xml:space="preserve"> Changes in Thought (ADPR/ACT) study; and 2) the Northwest Institute of Genetic Medicine (NWIGM) prospective biorepository. The current </w:t>
      </w:r>
      <w:proofErr w:type="spellStart"/>
      <w:r>
        <w:t>eMERGE</w:t>
      </w:r>
      <w:proofErr w:type="spellEnd"/>
      <w:r>
        <w:t xml:space="preserve"> II cohort consists of 5,299 subjects from these biorepositories, including 3,561 that have been genotyped and who</w:t>
      </w:r>
      <w:r>
        <w:t xml:space="preserve">se data form the current analytic sample for the </w:t>
      </w:r>
      <w:proofErr w:type="spellStart"/>
      <w:r>
        <w:t>eMERGE</w:t>
      </w:r>
      <w:proofErr w:type="spellEnd"/>
      <w:r>
        <w:t xml:space="preserve">-II project. An additional 1,738 subjects have exome chip, but not GWAS data. All subjects have long-term GH EMR. </w:t>
      </w:r>
    </w:p>
    <w:p w:rsidR="001C336F" w:rsidRDefault="00C657BF">
      <w:pPr>
        <w:ind w:left="-5" w:right="0"/>
      </w:pPr>
      <w:r>
        <w:t xml:space="preserve"> Seattle, with other Network sites, will continue to conduct GWAS analyses for multipl</w:t>
      </w:r>
      <w:r>
        <w:t>e new phenotypes identified through the EMR. Phenotypes planned to be explored by this site include those related to infectious disease susceptibility (</w:t>
      </w:r>
      <w:proofErr w:type="spellStart"/>
      <w:r>
        <w:t>BuGWAS</w:t>
      </w:r>
      <w:proofErr w:type="spellEnd"/>
      <w:r>
        <w:t>), specifically susceptibility to Clostridium difficile, reactivation of the varicella zoster viru</w:t>
      </w:r>
      <w:r>
        <w:t>s, and fungal nail infection (</w:t>
      </w:r>
      <w:proofErr w:type="spellStart"/>
      <w:r>
        <w:t>onchomychosis</w:t>
      </w:r>
      <w:proofErr w:type="spellEnd"/>
      <w:r>
        <w:t>). Additionally, we are studying the relationship of chromosomal abnormalities identified by GWAS with bone marrow disorders. Finally, Seattle investigators will generate and study implementation of pharmacogeneti</w:t>
      </w:r>
      <w:r>
        <w:t>c data. Using one-on-one interviews with medical system leaders, focus groups with physicians and patients, and prototype development and testing, Seattle investigators are assessing the challenges of integrating genomic information into clinical care. GH,</w:t>
      </w:r>
      <w:r>
        <w:t xml:space="preserve"> the University of Washington and the Fred Hutchinson Cancer Research Center will collaborate within and extend </w:t>
      </w:r>
      <w:proofErr w:type="spellStart"/>
      <w:r>
        <w:t>eMERGE</w:t>
      </w:r>
      <w:proofErr w:type="spellEnd"/>
      <w:r>
        <w:t xml:space="preserve"> through exchange of knowledge, technology, and best practices for generating EMR-based GWAS and integrating with clinical care. We have s</w:t>
      </w:r>
      <w:r>
        <w:t xml:space="preserve">pecific collaborations with the Alzheimer's Disease Genetics Consortium and with external genetic and genomic studies. </w:t>
      </w:r>
    </w:p>
    <w:p w:rsidR="001C336F" w:rsidRDefault="00C657BF">
      <w:pPr>
        <w:spacing w:after="0" w:line="259" w:lineRule="auto"/>
        <w:ind w:left="0" w:right="0" w:firstLine="0"/>
        <w:jc w:val="left"/>
      </w:pPr>
      <w:r>
        <w:t xml:space="preserve"> </w:t>
      </w:r>
    </w:p>
    <w:p w:rsidR="001C336F" w:rsidRDefault="00C657BF">
      <w:pPr>
        <w:ind w:left="-5" w:right="0"/>
      </w:pPr>
      <w:r>
        <w:rPr>
          <w:b/>
        </w:rPr>
        <w:t xml:space="preserve">Marshfield Clinic Foundation, Essentia Institute of Rural Health and Pennsylvania State University </w:t>
      </w:r>
      <w:r>
        <w:t>Marshfield/Essentia/Penn State prop</w:t>
      </w:r>
      <w:r>
        <w:t xml:space="preserve">osed three aims for their </w:t>
      </w:r>
      <w:proofErr w:type="spellStart"/>
      <w:r>
        <w:t>eMERGE</w:t>
      </w:r>
      <w:proofErr w:type="spellEnd"/>
      <w:r>
        <w:t xml:space="preserve"> II project: 1) develop and validate electronic algorithms for ophthalmic conditions and efficacy of medical therapy for ophthalmic conditions and implement other phenotype algorithms developed across the </w:t>
      </w:r>
      <w:proofErr w:type="spellStart"/>
      <w:r>
        <w:t>eMERGE</w:t>
      </w:r>
      <w:proofErr w:type="spellEnd"/>
      <w:r>
        <w:t xml:space="preserve"> network, 2) </w:t>
      </w:r>
      <w:r>
        <w:t xml:space="preserve">leverage GWAS data available for nearly 6000 research subjects aged 50 years and older in Marshfield and an additional 20-25,000 subjects throughout the </w:t>
      </w:r>
      <w:proofErr w:type="spellStart"/>
      <w:r>
        <w:t>eMERGE</w:t>
      </w:r>
      <w:proofErr w:type="spellEnd"/>
      <w:r>
        <w:t xml:space="preserve"> network to undertake genetic discoveries for ophthalmic conditions and ophthalmic pharmacogeneti</w:t>
      </w:r>
      <w:r>
        <w:t>cs, and 3) undertake consultation activities with the general community and clinicians related to the incorporation of GWAS results into electronic health records to inform health care decisions. Information about the primary phenotypes can be found in Tab</w:t>
      </w:r>
      <w:r>
        <w:t xml:space="preserve">le S2. In addition to the GWAS analyses using the SNP data, the CNV data are being cleaned and will be used for both the </w:t>
      </w:r>
      <w:proofErr w:type="spellStart"/>
      <w:r>
        <w:t>eMERGE</w:t>
      </w:r>
      <w:proofErr w:type="spellEnd"/>
      <w:r>
        <w:t xml:space="preserve"> 1 (cataract, HDL) and </w:t>
      </w:r>
      <w:proofErr w:type="spellStart"/>
      <w:r>
        <w:t>eMERGE</w:t>
      </w:r>
      <w:proofErr w:type="spellEnd"/>
      <w:r>
        <w:t xml:space="preserve"> II outcomes. Focus group discussions, using the same methodology that was employed in eMERGE-I</w:t>
      </w:r>
      <w:r>
        <w:rPr>
          <w:vertAlign w:val="superscript"/>
        </w:rPr>
        <w:t>1</w:t>
      </w:r>
      <w:r>
        <w:t xml:space="preserve"> hav</w:t>
      </w:r>
      <w:r>
        <w:t>e been undertaken with general community members who have primary care physicians at Marshfield Clinic, participants of the PMRP biobank,</w:t>
      </w:r>
      <w:r>
        <w:rPr>
          <w:vertAlign w:val="superscript"/>
        </w:rPr>
        <w:t>2</w:t>
      </w:r>
      <w:r>
        <w:t xml:space="preserve"> and Marshfield Clinic primary care physicians.  The discussions centered around the return of genetic research result</w:t>
      </w:r>
      <w:r>
        <w:t xml:space="preserve">s and supporting information for patients and providers. The PMRP Community Advisory Group meets several times per year to provide advice on various aspects of </w:t>
      </w:r>
      <w:proofErr w:type="spellStart"/>
      <w:r>
        <w:t>eMERGE</w:t>
      </w:r>
      <w:proofErr w:type="spellEnd"/>
      <w:r>
        <w:t xml:space="preserve"> II and the PMRP cohort is kept informed of research activities through a </w:t>
      </w:r>
      <w:proofErr w:type="gramStart"/>
      <w:r>
        <w:t>twice yearly</w:t>
      </w:r>
      <w:proofErr w:type="gramEnd"/>
      <w:r>
        <w:t xml:space="preserve"> new</w:t>
      </w:r>
      <w:r>
        <w:t>sletter.</w:t>
      </w:r>
      <w:r>
        <w:rPr>
          <w:vertAlign w:val="superscript"/>
        </w:rPr>
        <w:t>3</w:t>
      </w:r>
      <w:r>
        <w:t xml:space="preserve"> </w:t>
      </w:r>
    </w:p>
    <w:p w:rsidR="001C336F" w:rsidRDefault="00C657BF">
      <w:pPr>
        <w:spacing w:after="0" w:line="259" w:lineRule="auto"/>
        <w:ind w:left="0" w:right="0" w:firstLine="0"/>
        <w:jc w:val="left"/>
      </w:pPr>
      <w:r>
        <w:lastRenderedPageBreak/>
        <w:t xml:space="preserve"> </w:t>
      </w:r>
    </w:p>
    <w:p w:rsidR="001C336F" w:rsidRDefault="00C657BF">
      <w:pPr>
        <w:numPr>
          <w:ilvl w:val="0"/>
          <w:numId w:val="3"/>
        </w:numPr>
        <w:ind w:right="7" w:hanging="360"/>
        <w:jc w:val="left"/>
      </w:pPr>
      <w:r>
        <w:t xml:space="preserve">McCarty CA, Garber A, Reeser JC, </w:t>
      </w:r>
      <w:proofErr w:type="spellStart"/>
      <w:r>
        <w:t>Fost</w:t>
      </w:r>
      <w:proofErr w:type="spellEnd"/>
      <w:r>
        <w:t xml:space="preserve"> NC.  Study newsletters, community and ethics advisory boards, and focus group discussions provide ongoing feedback for a large biobank. </w:t>
      </w:r>
      <w:r>
        <w:rPr>
          <w:i/>
        </w:rPr>
        <w:t>Am J Med Genet</w:t>
      </w:r>
      <w:r>
        <w:t xml:space="preserve"> </w:t>
      </w:r>
      <w:proofErr w:type="gramStart"/>
      <w:r>
        <w:t>2011;155:737</w:t>
      </w:r>
      <w:proofErr w:type="gramEnd"/>
      <w:r>
        <w:t xml:space="preserve">-741. </w:t>
      </w:r>
    </w:p>
    <w:p w:rsidR="001C336F" w:rsidRDefault="00C657BF">
      <w:pPr>
        <w:numPr>
          <w:ilvl w:val="0"/>
          <w:numId w:val="3"/>
        </w:numPr>
        <w:spacing w:after="3" w:line="245" w:lineRule="auto"/>
        <w:ind w:right="7" w:hanging="360"/>
        <w:jc w:val="left"/>
      </w:pPr>
      <w:r>
        <w:t xml:space="preserve">McCarty CA, Wilke RA, </w:t>
      </w:r>
      <w:proofErr w:type="spellStart"/>
      <w:r>
        <w:t>Giampietro</w:t>
      </w:r>
      <w:proofErr w:type="spellEnd"/>
      <w:r>
        <w:t xml:space="preserve"> PF</w:t>
      </w:r>
      <w:r>
        <w:t xml:space="preserve">, </w:t>
      </w:r>
      <w:proofErr w:type="spellStart"/>
      <w:r>
        <w:t>Wesbrook</w:t>
      </w:r>
      <w:proofErr w:type="spellEnd"/>
      <w:r>
        <w:t xml:space="preserve"> S, Caldwell MD.  Marshfield Clinic Personalized Medicine Research Project (PMRP): design, methods and recruitment for a large, population-based biobank. </w:t>
      </w:r>
      <w:r>
        <w:rPr>
          <w:i/>
        </w:rPr>
        <w:t>Personalized Medicine</w:t>
      </w:r>
      <w:r>
        <w:t xml:space="preserve"> </w:t>
      </w:r>
      <w:proofErr w:type="gramStart"/>
      <w:r>
        <w:t>2005;2:49</w:t>
      </w:r>
      <w:proofErr w:type="gramEnd"/>
      <w:r>
        <w:t xml:space="preserve">-79. </w:t>
      </w:r>
    </w:p>
    <w:p w:rsidR="001C336F" w:rsidRDefault="00C657BF">
      <w:pPr>
        <w:numPr>
          <w:ilvl w:val="0"/>
          <w:numId w:val="3"/>
        </w:numPr>
        <w:spacing w:after="3" w:line="245" w:lineRule="auto"/>
        <w:ind w:right="7" w:hanging="360"/>
        <w:jc w:val="left"/>
      </w:pPr>
      <w:r>
        <w:t xml:space="preserve">McCarty CA, Chapman-Stone D, </w:t>
      </w:r>
      <w:proofErr w:type="spellStart"/>
      <w:r>
        <w:t>Giampietro</w:t>
      </w:r>
      <w:proofErr w:type="spellEnd"/>
      <w:r>
        <w:t xml:space="preserve"> PF, </w:t>
      </w:r>
      <w:proofErr w:type="spellStart"/>
      <w:r>
        <w:t>Fost</w:t>
      </w:r>
      <w:proofErr w:type="spellEnd"/>
      <w:r>
        <w:t xml:space="preserve"> NC, PM</w:t>
      </w:r>
      <w:r>
        <w:t xml:space="preserve">RP Community Advisory Group.  Community consultation and communication for a population-based DNA biobank: the Marshfield Clinic Personalized Medicine Research Project. </w:t>
      </w:r>
      <w:r>
        <w:rPr>
          <w:i/>
        </w:rPr>
        <w:t>Am J Med Genet</w:t>
      </w:r>
      <w:r>
        <w:t xml:space="preserve"> 2008;3026-3033. </w:t>
      </w:r>
    </w:p>
    <w:p w:rsidR="001C336F" w:rsidRDefault="00C657BF">
      <w:pPr>
        <w:spacing w:after="0" w:line="259" w:lineRule="auto"/>
        <w:ind w:left="0" w:right="0" w:firstLine="0"/>
        <w:jc w:val="left"/>
      </w:pPr>
      <w:r>
        <w:t xml:space="preserve"> </w:t>
      </w:r>
    </w:p>
    <w:p w:rsidR="001C336F" w:rsidRDefault="00C657BF">
      <w:pPr>
        <w:pStyle w:val="2"/>
        <w:ind w:left="-5"/>
      </w:pPr>
      <w:r>
        <w:t xml:space="preserve">Mayo Clinic </w:t>
      </w:r>
    </w:p>
    <w:p w:rsidR="001C336F" w:rsidRDefault="00C657BF">
      <w:pPr>
        <w:ind w:left="-5" w:right="0"/>
      </w:pPr>
      <w:r>
        <w:t xml:space="preserve">The major focus at Mayo for phase II of </w:t>
      </w:r>
      <w:proofErr w:type="spellStart"/>
      <w:r>
        <w:t>eMERGE</w:t>
      </w:r>
      <w:proofErr w:type="spellEnd"/>
      <w:r>
        <w:t xml:space="preserve"> is to conduct EMR-based GWAS</w:t>
      </w:r>
      <w:r>
        <w:rPr>
          <w:vertAlign w:val="superscript"/>
        </w:rPr>
        <w:t>1</w:t>
      </w:r>
      <w:r>
        <w:t xml:space="preserve"> of multiple cardiovascular phenotypes and develop methods to translate relevant genomic findings to clinical practice with ongoing guidance from the community. The proposed Mayo </w:t>
      </w:r>
      <w:proofErr w:type="spellStart"/>
      <w:r>
        <w:t>e</w:t>
      </w:r>
      <w:r>
        <w:t>MERGE</w:t>
      </w:r>
      <w:proofErr w:type="spellEnd"/>
      <w:r>
        <w:t xml:space="preserve">-II cohort (n=6,916) includes the 3,769 </w:t>
      </w:r>
      <w:proofErr w:type="spellStart"/>
      <w:r>
        <w:t>eMERGE</w:t>
      </w:r>
      <w:proofErr w:type="spellEnd"/>
      <w:r>
        <w:t>-I patients and an additional 3,147 individuals, the majority (90%) genotyped on the Illumina 660W-Quad platform. Most of the Mayo patients (&gt;95%) are of European ancestry. The Mayo investigators are in th</w:t>
      </w:r>
      <w:r>
        <w:t>e process of completing EMR-based GWAS to identify common genetic variants that influence: a) inter-individual variation in cardiorespiratory fitness, a powerful marker of adverse outcomes, and b) susceptibility to two common conditions of significant publ</w:t>
      </w:r>
      <w:r>
        <w:t>ic health importance: venous thromboembolism and heart failure. Validated and transportable phenotyping algorithms for these phenotypes are being developing and made widely available to the scientific community via an open source library (</w:t>
      </w:r>
      <w:proofErr w:type="spellStart"/>
      <w:r>
        <w:t>PheKB</w:t>
      </w:r>
      <w:proofErr w:type="spellEnd"/>
      <w:r>
        <w:t>). The secon</w:t>
      </w:r>
      <w:r>
        <w:t xml:space="preserve">d major goal of Mayo </w:t>
      </w:r>
      <w:proofErr w:type="spellStart"/>
      <w:r>
        <w:t>eMERGE</w:t>
      </w:r>
      <w:proofErr w:type="spellEnd"/>
      <w:r>
        <w:t xml:space="preserve"> phase II is to conduct a randomized-clinical trial to investigate how patients respond to genotype-informed coronary heart disease (CHD) risk. The investigators will enroll 150 patients from the community who are at intermediate</w:t>
      </w:r>
      <w:r>
        <w:t xml:space="preserve"> 10-y CHD risk, perform CLIA-certified genotyping of multiple CHD susceptibility SNPs, and communicate the results and the implications for CHD risk to patients and their providers using specifically designed risk communication tools. The effectiveness of </w:t>
      </w:r>
      <w:r>
        <w:t>the communication and the patients’ comprehension of risk, response to the information, and planned changes in lifestyle will be assessed by interview and surveys shortly after communicating with CHD risk and at several time points thereafter. Concomitantl</w:t>
      </w:r>
      <w:r>
        <w:t xml:space="preserve">y, the Mayo team is working on informatics approaches to incorporate genomic information and relevant clinical decision support tools into the EMR. </w:t>
      </w:r>
    </w:p>
    <w:p w:rsidR="001C336F" w:rsidRDefault="00C657BF">
      <w:pPr>
        <w:spacing w:after="0" w:line="259" w:lineRule="auto"/>
        <w:ind w:left="0" w:right="0" w:firstLine="0"/>
        <w:jc w:val="left"/>
      </w:pPr>
      <w:r>
        <w:t xml:space="preserve"> </w:t>
      </w:r>
    </w:p>
    <w:p w:rsidR="001C336F" w:rsidRDefault="00C657BF">
      <w:pPr>
        <w:numPr>
          <w:ilvl w:val="0"/>
          <w:numId w:val="4"/>
        </w:numPr>
        <w:ind w:right="0" w:hanging="360"/>
      </w:pPr>
      <w:proofErr w:type="spellStart"/>
      <w:r>
        <w:t>Kullo</w:t>
      </w:r>
      <w:proofErr w:type="spellEnd"/>
      <w:r>
        <w:t xml:space="preserve"> IJ, Fan J, Pathak J, </w:t>
      </w:r>
      <w:proofErr w:type="spellStart"/>
      <w:r>
        <w:t>Savova</w:t>
      </w:r>
      <w:proofErr w:type="spellEnd"/>
      <w:r>
        <w:t xml:space="preserve"> GK, Ali Z, Chute CG. Leveraging informatics for genetic studies: use of</w:t>
      </w:r>
      <w:r>
        <w:t xml:space="preserve"> the electronic medical record to enable a genome-wide association study of peripheral arterial disease. J Am Med Inform Assoc. </w:t>
      </w:r>
      <w:proofErr w:type="gramStart"/>
      <w:r>
        <w:t>2010;17:568</w:t>
      </w:r>
      <w:proofErr w:type="gramEnd"/>
      <w:r>
        <w:t xml:space="preserve">-574. [PMCID: 2995686] </w:t>
      </w:r>
    </w:p>
    <w:p w:rsidR="001C336F" w:rsidRDefault="00C657BF">
      <w:pPr>
        <w:numPr>
          <w:ilvl w:val="0"/>
          <w:numId w:val="4"/>
        </w:numPr>
        <w:ind w:right="0" w:hanging="360"/>
      </w:pPr>
      <w:proofErr w:type="spellStart"/>
      <w:r>
        <w:t>Kullo</w:t>
      </w:r>
      <w:proofErr w:type="spellEnd"/>
      <w:r>
        <w:t xml:space="preserve"> IJ, </w:t>
      </w:r>
      <w:proofErr w:type="spellStart"/>
      <w:r>
        <w:t>Jarvik</w:t>
      </w:r>
      <w:proofErr w:type="spellEnd"/>
      <w:r>
        <w:t xml:space="preserve"> GP, </w:t>
      </w:r>
      <w:proofErr w:type="spellStart"/>
      <w:r>
        <w:t>Manolio</w:t>
      </w:r>
      <w:proofErr w:type="spellEnd"/>
      <w:r>
        <w:t xml:space="preserve"> TA, Williams MS, </w:t>
      </w:r>
      <w:proofErr w:type="spellStart"/>
      <w:r>
        <w:t>Roden</w:t>
      </w:r>
      <w:proofErr w:type="spellEnd"/>
      <w:r>
        <w:t xml:space="preserve"> DM. Leveraging the electronic health reco</w:t>
      </w:r>
      <w:r>
        <w:t xml:space="preserve">rd to implement genomic medicine. Genet Med. (in press) PMID: 23018749 </w:t>
      </w:r>
    </w:p>
    <w:p w:rsidR="001C336F" w:rsidRDefault="00C657BF">
      <w:pPr>
        <w:spacing w:after="0" w:line="259" w:lineRule="auto"/>
        <w:ind w:left="0" w:right="0" w:firstLine="0"/>
        <w:jc w:val="left"/>
      </w:pPr>
      <w:r>
        <w:rPr>
          <w:i/>
        </w:rPr>
        <w:t xml:space="preserve"> </w:t>
      </w:r>
    </w:p>
    <w:p w:rsidR="001C336F" w:rsidRDefault="00C657BF">
      <w:pPr>
        <w:pStyle w:val="2"/>
        <w:ind w:left="-5"/>
      </w:pPr>
      <w:r>
        <w:t>Mount Sinai School of Medicine</w:t>
      </w:r>
      <w:r>
        <w:rPr>
          <w:b w:val="0"/>
          <w:i/>
        </w:rPr>
        <w:t xml:space="preserve"> </w:t>
      </w:r>
    </w:p>
    <w:p w:rsidR="001C336F" w:rsidRDefault="00C657BF">
      <w:pPr>
        <w:ind w:left="-5" w:right="0"/>
      </w:pPr>
      <w:r>
        <w:t>The Mount Sinai Hospital and School of Medicine comprise The Mount Sinai Medical Center, a large academic medical center serving nearly 60,000 inpatie</w:t>
      </w:r>
      <w:r>
        <w:t>nt and over 600,000 outpatient visits annually. Mount Sinai’s patient populations largely reside in urban communities of Northern Manhattan that are socio-economically, ethnically, and religiously diverse. In 2007, Mount Sinai established The Charles Bronf</w:t>
      </w:r>
      <w:r>
        <w:t xml:space="preserve">man Institute for Personalized Medicine (IPM) where the </w:t>
      </w:r>
      <w:proofErr w:type="spellStart"/>
      <w:r>
        <w:t>Bio</w:t>
      </w:r>
      <w:r>
        <w:rPr>
          <w:i/>
        </w:rPr>
        <w:t>Me</w:t>
      </w:r>
      <w:proofErr w:type="spellEnd"/>
      <w:r>
        <w:t xml:space="preserve">™ Biobank Program was launched in September 2007 with the mission to advance data-driven and gene-based individualization of healthcare. </w:t>
      </w:r>
      <w:proofErr w:type="spellStart"/>
      <w:r>
        <w:t>Bio</w:t>
      </w:r>
      <w:r>
        <w:rPr>
          <w:i/>
        </w:rPr>
        <w:t>Me</w:t>
      </w:r>
      <w:proofErr w:type="spellEnd"/>
      <w:r>
        <w:t>™ is an ongoing, prospective, hospital-based populati</w:t>
      </w:r>
      <w:r>
        <w:t>on study that has enrolled over 23,000 consented participants from Mount Sinai’s clinical care facilities.</w:t>
      </w:r>
      <w:r>
        <w:rPr>
          <w:vertAlign w:val="superscript"/>
        </w:rPr>
        <w:t>1</w:t>
      </w:r>
      <w:r>
        <w:t xml:space="preserve"> Participants consent to a) using their complete EMR for phenotypic and exposure data, b) future re-contacting for participation in additional IRB ap</w:t>
      </w:r>
      <w:r>
        <w:t xml:space="preserve">proved research, and c) sharing of de-identified phenotypic and genotypic data. The </w:t>
      </w:r>
      <w:proofErr w:type="spellStart"/>
      <w:r>
        <w:t>Bio</w:t>
      </w:r>
      <w:r>
        <w:rPr>
          <w:i/>
        </w:rPr>
        <w:t>Me</w:t>
      </w:r>
      <w:proofErr w:type="spellEnd"/>
      <w:r>
        <w:t>™ cohort represents the ethnic and racial diversity of Mount Sinai’s local communities, with 25% of African Ancestry (AA), 30% of European Ancestry (EA), 36% of Hispan</w:t>
      </w:r>
      <w:r>
        <w:t xml:space="preserve">ic or Latino ancestry (HL), and 9% of other ancestry. Mount Sinai joined the </w:t>
      </w:r>
      <w:proofErr w:type="spellStart"/>
      <w:r>
        <w:t>eMERGE</w:t>
      </w:r>
      <w:proofErr w:type="spellEnd"/>
      <w:r>
        <w:t xml:space="preserve"> II Network in 2011 with the “Biorepository for Genomic Medicine in Diverse Communities” research program. The Mount Sinai </w:t>
      </w:r>
      <w:proofErr w:type="spellStart"/>
      <w:r>
        <w:t>eMERGE</w:t>
      </w:r>
      <w:proofErr w:type="spellEnd"/>
      <w:r>
        <w:t xml:space="preserve"> II program already provided the </w:t>
      </w:r>
      <w:proofErr w:type="spellStart"/>
      <w:r>
        <w:t>eMERGE</w:t>
      </w:r>
      <w:proofErr w:type="spellEnd"/>
      <w:r>
        <w:t xml:space="preserve"> II N</w:t>
      </w:r>
      <w:r>
        <w:t>etwork with high quality GWA genotype datasets for 6,275 of its participants, including 4,363 AA, 1,212 HA, and 700 EA. GWA genotyping (</w:t>
      </w:r>
      <w:proofErr w:type="spellStart"/>
      <w:r>
        <w:t>OmniExpress+Exome</w:t>
      </w:r>
      <w:proofErr w:type="spellEnd"/>
      <w:r>
        <w:t xml:space="preserve"> chips) has been extended to over 15,000 </w:t>
      </w:r>
      <w:proofErr w:type="spellStart"/>
      <w:r>
        <w:t>Bio</w:t>
      </w:r>
      <w:r>
        <w:rPr>
          <w:i/>
        </w:rPr>
        <w:t>Me</w:t>
      </w:r>
      <w:proofErr w:type="spellEnd"/>
      <w:r>
        <w:t>™ participants by December 2012. Mount Sinai has invested</w:t>
      </w:r>
      <w:r>
        <w:t xml:space="preserve"> significant resources in the development of a complex information </w:t>
      </w:r>
      <w:r>
        <w:lastRenderedPageBreak/>
        <w:t xml:space="preserve">management system led by IPM faculty to enable point-of-care incorporation of genotype information with clinical decision support delivered in Mount Sinai’s EpicCare® EHR.  </w:t>
      </w:r>
    </w:p>
    <w:p w:rsidR="001C336F" w:rsidRDefault="00C657BF">
      <w:pPr>
        <w:spacing w:after="0" w:line="259" w:lineRule="auto"/>
        <w:ind w:left="0" w:right="16" w:firstLine="0"/>
        <w:jc w:val="right"/>
      </w:pPr>
      <w:r>
        <w:t>The goals and o</w:t>
      </w:r>
      <w:r>
        <w:t xml:space="preserve">bjectives of the Mount Sinai </w:t>
      </w:r>
      <w:proofErr w:type="spellStart"/>
      <w:r>
        <w:t>eMERGE</w:t>
      </w:r>
      <w:proofErr w:type="spellEnd"/>
      <w:r>
        <w:t xml:space="preserve"> II program are concentrated in the following areas: </w:t>
      </w:r>
    </w:p>
    <w:p w:rsidR="001C336F" w:rsidRDefault="00C657BF">
      <w:pPr>
        <w:ind w:left="-5" w:right="0"/>
      </w:pPr>
      <w:r>
        <w:t xml:space="preserve">community-participatory education and research in genomic medicine; development and dissemination among </w:t>
      </w:r>
      <w:proofErr w:type="spellStart"/>
      <w:r>
        <w:t>eMERGE</w:t>
      </w:r>
      <w:proofErr w:type="spellEnd"/>
      <w:r>
        <w:t xml:space="preserve"> II partner sites of phenotyping validated phenotyping al</w:t>
      </w:r>
      <w:r>
        <w:t xml:space="preserve">gorithms for chronic kidney disease (CKD) and its progression (CKD progression), and drug-induced liver injury (DILI); support of </w:t>
      </w:r>
      <w:proofErr w:type="spellStart"/>
      <w:r>
        <w:t>eMERGE</w:t>
      </w:r>
      <w:proofErr w:type="spellEnd"/>
      <w:r>
        <w:t xml:space="preserve"> II GWAS projects by providing large sample of genetically diverse patient populations; share experience with developmen</w:t>
      </w:r>
      <w:r>
        <w:t xml:space="preserve">t and implementation of the genomic information EHR integration system at Mount Sinai; pilot genomic medicine demonstration projects including </w:t>
      </w:r>
      <w:proofErr w:type="spellStart"/>
      <w:r>
        <w:t>eMERGE</w:t>
      </w:r>
      <w:proofErr w:type="spellEnd"/>
      <w:r>
        <w:t xml:space="preserve"> II Network wide clinical care implementation of pharmacogenetic support and local implementation of APOL1 </w:t>
      </w:r>
      <w:r>
        <w:t xml:space="preserve">genomic risk information in management of hypertension and renal care in patients of African ancestry. </w:t>
      </w:r>
    </w:p>
    <w:p w:rsidR="001C336F" w:rsidRDefault="00C657BF">
      <w:pPr>
        <w:spacing w:after="0" w:line="259" w:lineRule="auto"/>
        <w:ind w:left="720" w:right="0" w:firstLine="0"/>
        <w:jc w:val="left"/>
      </w:pPr>
      <w:r>
        <w:t xml:space="preserve"> </w:t>
      </w:r>
    </w:p>
    <w:p w:rsidR="001C336F" w:rsidRDefault="00C657BF">
      <w:pPr>
        <w:ind w:left="1080" w:right="0" w:hanging="360"/>
      </w:pPr>
      <w:r>
        <w:t xml:space="preserve">1. </w:t>
      </w:r>
      <w:proofErr w:type="spellStart"/>
      <w:r>
        <w:t>Tayo</w:t>
      </w:r>
      <w:proofErr w:type="spellEnd"/>
      <w:r>
        <w:t xml:space="preserve"> BO, </w:t>
      </w:r>
      <w:proofErr w:type="spellStart"/>
      <w:r>
        <w:t>Teil</w:t>
      </w:r>
      <w:proofErr w:type="spellEnd"/>
      <w:r>
        <w:t xml:space="preserve"> M, Tong L, et al. Genetic background of patients from a university medical center in Manhattan: implications for personalized medicin</w:t>
      </w:r>
      <w:r>
        <w:t xml:space="preserve">e. </w:t>
      </w:r>
      <w:proofErr w:type="spellStart"/>
      <w:r>
        <w:rPr>
          <w:i/>
        </w:rPr>
        <w:t>PLoS</w:t>
      </w:r>
      <w:proofErr w:type="spellEnd"/>
      <w:r>
        <w:rPr>
          <w:i/>
        </w:rPr>
        <w:t xml:space="preserve"> One.</w:t>
      </w:r>
      <w:r>
        <w:t xml:space="preserve"> 2011;</w:t>
      </w:r>
      <w:proofErr w:type="gramStart"/>
      <w:r>
        <w:t>6:e</w:t>
      </w:r>
      <w:proofErr w:type="gramEnd"/>
      <w:r>
        <w:t>19166.</w:t>
      </w:r>
      <w:r>
        <w:rPr>
          <w:i/>
        </w:rPr>
        <w:t xml:space="preserve"> </w:t>
      </w:r>
    </w:p>
    <w:p w:rsidR="001C336F" w:rsidRDefault="00C657BF">
      <w:pPr>
        <w:spacing w:after="0" w:line="259" w:lineRule="auto"/>
        <w:ind w:left="0" w:right="0" w:firstLine="0"/>
        <w:jc w:val="left"/>
      </w:pPr>
      <w:r>
        <w:rPr>
          <w:i/>
        </w:rPr>
        <w:t xml:space="preserve"> </w:t>
      </w:r>
    </w:p>
    <w:p w:rsidR="001C336F" w:rsidRDefault="00C657BF">
      <w:pPr>
        <w:pStyle w:val="2"/>
        <w:ind w:left="-5"/>
      </w:pPr>
      <w:r>
        <w:t xml:space="preserve">Northwestern University </w:t>
      </w:r>
    </w:p>
    <w:p w:rsidR="001C336F" w:rsidRDefault="00C657BF">
      <w:pPr>
        <w:ind w:left="-5" w:right="0"/>
      </w:pPr>
      <w:r>
        <w:t xml:space="preserve">The Northwestern University (NU) </w:t>
      </w:r>
      <w:proofErr w:type="spellStart"/>
      <w:r>
        <w:t>eMERGE</w:t>
      </w:r>
      <w:proofErr w:type="spellEnd"/>
      <w:r>
        <w:t xml:space="preserve"> site is based on the </w:t>
      </w:r>
      <w:proofErr w:type="spellStart"/>
      <w:r>
        <w:t>NUgene</w:t>
      </w:r>
      <w:proofErr w:type="spellEnd"/>
      <w:r>
        <w:t xml:space="preserve"> biorepository </w:t>
      </w:r>
      <w:r>
        <w:t>through which DNA samples of consented participants are linked to clinical information from both inpatient and ambulatory care settings, and supplemented with data from a participant questionnaire. Participants consent to distribution of their coded DNA sa</w:t>
      </w:r>
      <w:r>
        <w:t xml:space="preserve">mples and data for a broad range of genetic research conducted by third-party investigators. </w:t>
      </w:r>
    </w:p>
    <w:p w:rsidR="001C336F" w:rsidRDefault="00C657BF">
      <w:pPr>
        <w:spacing w:after="26"/>
        <w:ind w:left="-5" w:right="0"/>
      </w:pPr>
      <w:r>
        <w:t xml:space="preserve">Virtually all of our inpatient and outpatient data are captured electronically. Outpatient records are held in </w:t>
      </w:r>
      <w:proofErr w:type="spellStart"/>
      <w:r>
        <w:t>EpiCare®EMR</w:t>
      </w:r>
      <w:proofErr w:type="spellEnd"/>
      <w:r>
        <w:t xml:space="preserve"> and inpatients records in Cerner Powerchart®.</w:t>
      </w:r>
      <w:r>
        <w:rPr>
          <w:vertAlign w:val="superscript"/>
        </w:rPr>
        <w:t>1</w:t>
      </w:r>
      <w:r>
        <w:t xml:space="preserve"> </w:t>
      </w:r>
    </w:p>
    <w:p w:rsidR="001C336F" w:rsidRDefault="00C657BF">
      <w:pPr>
        <w:ind w:left="-15" w:right="0" w:firstLine="720"/>
      </w:pPr>
      <w:r>
        <w:t xml:space="preserve">In </w:t>
      </w:r>
      <w:proofErr w:type="spellStart"/>
      <w:r>
        <w:t>eMERGE</w:t>
      </w:r>
      <w:proofErr w:type="spellEnd"/>
      <w:r>
        <w:t xml:space="preserve"> I, NU led the development of phenotype algorithms for Type II Diabetes,</w:t>
      </w:r>
      <w:r>
        <w:rPr>
          <w:vertAlign w:val="superscript"/>
        </w:rPr>
        <w:t>2</w:t>
      </w:r>
      <w:r>
        <w:t xml:space="preserve"> as</w:t>
      </w:r>
      <w:r>
        <w:t>thma,</w:t>
      </w:r>
      <w:r>
        <w:rPr>
          <w:vertAlign w:val="superscript"/>
        </w:rPr>
        <w:t>3</w:t>
      </w:r>
      <w:r>
        <w:t xml:space="preserve"> lipids,</w:t>
      </w:r>
      <w:r>
        <w:rPr>
          <w:vertAlign w:val="superscript"/>
        </w:rPr>
        <w:t>4</w:t>
      </w:r>
      <w:r>
        <w:t xml:space="preserve"> and height, in addition to implementing the algorithms developed by other sites. Over 4,950 </w:t>
      </w:r>
      <w:proofErr w:type="spellStart"/>
      <w:r>
        <w:t>NUgene</w:t>
      </w:r>
      <w:proofErr w:type="spellEnd"/>
      <w:r>
        <w:t xml:space="preserve"> participants have been genotyped as part of </w:t>
      </w:r>
      <w:proofErr w:type="spellStart"/>
      <w:r>
        <w:t>eMERGE</w:t>
      </w:r>
      <w:proofErr w:type="spellEnd"/>
      <w:r>
        <w:t xml:space="preserve"> I and as controls for an NICHD study of polycystic ovary syndrome. NU led analysis of the </w:t>
      </w:r>
      <w:r>
        <w:t xml:space="preserve">T2D GWAS in both African Americans and in European Americans. Mega analysis across all T2D </w:t>
      </w:r>
      <w:proofErr w:type="spellStart"/>
      <w:r>
        <w:t>eMERGE</w:t>
      </w:r>
      <w:proofErr w:type="spellEnd"/>
      <w:r>
        <w:t xml:space="preserve"> samples successfully replicated TCF7L2, the most consistent T2D risk allele yet identified. In addition, analysis of the African American samples has identifi</w:t>
      </w:r>
      <w:r>
        <w:t xml:space="preserve">ed some interesting potential associations (not yet published). NU also led the analysis of LDL cholesterol in African Americans revealing a strong protective variant in APOE 4. NU conducted a three-phased mixed methods approach to consulting with various </w:t>
      </w:r>
      <w:r>
        <w:t xml:space="preserve">communities about genetic research and sharing of GWAS and phenotypic data, including </w:t>
      </w:r>
      <w:proofErr w:type="spellStart"/>
      <w:r>
        <w:t>NUgene</w:t>
      </w:r>
      <w:proofErr w:type="spellEnd"/>
      <w:r>
        <w:t xml:space="preserve"> biobank participants, the public, and IRBs.</w:t>
      </w:r>
      <w:r>
        <w:rPr>
          <w:vertAlign w:val="superscript"/>
        </w:rPr>
        <w:t>5,6</w:t>
      </w:r>
      <w:r>
        <w:t xml:space="preserve"> NU was the lead </w:t>
      </w:r>
      <w:proofErr w:type="spellStart"/>
      <w:r>
        <w:t>eMERGE</w:t>
      </w:r>
      <w:proofErr w:type="spellEnd"/>
      <w:r>
        <w:t xml:space="preserve"> site in the development of model consent language for biobanks planning to perform high throu</w:t>
      </w:r>
      <w:r>
        <w:t>ghput genomic studies and share the data</w:t>
      </w:r>
      <w:r>
        <w:rPr>
          <w:vertAlign w:val="superscript"/>
        </w:rPr>
        <w:t>7</w:t>
      </w:r>
      <w:r>
        <w:t xml:space="preserve"> and led the writing of a comparative paper on community engagement efforts.</w:t>
      </w:r>
      <w:r>
        <w:rPr>
          <w:vertAlign w:val="superscript"/>
        </w:rPr>
        <w:t>8</w:t>
      </w:r>
      <w:r>
        <w:t xml:space="preserve"> </w:t>
      </w:r>
    </w:p>
    <w:p w:rsidR="001C336F" w:rsidRDefault="00C657BF">
      <w:pPr>
        <w:ind w:left="-15" w:right="0" w:firstLine="720"/>
      </w:pPr>
      <w:r>
        <w:t xml:space="preserve">The </w:t>
      </w:r>
      <w:proofErr w:type="spellStart"/>
      <w:r>
        <w:t>eMERGE</w:t>
      </w:r>
      <w:proofErr w:type="spellEnd"/>
      <w:r>
        <w:t xml:space="preserve"> II project builds on NU’s broad experience with using the EHR both for research and in developing clinical decision support t</w:t>
      </w:r>
      <w:r>
        <w:t xml:space="preserve">ools as well as the genotype data available through </w:t>
      </w:r>
      <w:proofErr w:type="spellStart"/>
      <w:r>
        <w:t>eMERGE</w:t>
      </w:r>
      <w:proofErr w:type="spellEnd"/>
      <w:r>
        <w:t xml:space="preserve"> I activities to integrate genomic data into clinical care.</w:t>
      </w:r>
      <w:r>
        <w:rPr>
          <w:vertAlign w:val="superscript"/>
        </w:rPr>
        <w:t>9,10</w:t>
      </w:r>
      <w:r>
        <w:t xml:space="preserve"> The specific goals of the project include 1) expanding the development and implementation of electronic phenotype algorithms and detec</w:t>
      </w:r>
      <w:r>
        <w:t xml:space="preserve">tion of new genomic associations; 2) Consult with physicians and patients regarding the utility of real world examples of clinically relevant genotypes and to inform clinical activities; 3) Develop technical approaches for integrating genetic variant data </w:t>
      </w:r>
      <w:r>
        <w:t>into our commercial EHR; and 4) Evaluate the impact of key translational elements such as regulatory barriers, EHR decision support tools, and the education of physicians and patients about genomic information and disseminate lessons learned and best pract</w:t>
      </w:r>
      <w:r>
        <w:t xml:space="preserve">ice recommendations. </w:t>
      </w:r>
    </w:p>
    <w:p w:rsidR="001C336F" w:rsidRDefault="00C657BF">
      <w:pPr>
        <w:spacing w:after="0" w:line="259" w:lineRule="auto"/>
        <w:ind w:left="0" w:right="0" w:firstLine="0"/>
        <w:jc w:val="left"/>
      </w:pPr>
      <w:r>
        <w:t xml:space="preserve"> </w:t>
      </w:r>
    </w:p>
    <w:p w:rsidR="001C336F" w:rsidRDefault="00C657BF">
      <w:pPr>
        <w:numPr>
          <w:ilvl w:val="0"/>
          <w:numId w:val="5"/>
        </w:numPr>
        <w:ind w:right="0"/>
      </w:pPr>
      <w:r>
        <w:t xml:space="preserve">McCarty CA, Chisholm RL, Chute CG, et al. The </w:t>
      </w:r>
      <w:proofErr w:type="spellStart"/>
      <w:r>
        <w:t>eMERGE</w:t>
      </w:r>
      <w:proofErr w:type="spellEnd"/>
      <w:r>
        <w:t xml:space="preserve"> Network: A consortium of biorepositories linked to electronic medical records data for conducting genomic studies BMC Med </w:t>
      </w:r>
      <w:proofErr w:type="spellStart"/>
      <w:r>
        <w:t>Genom</w:t>
      </w:r>
      <w:proofErr w:type="spellEnd"/>
      <w:r>
        <w:t xml:space="preserve"> 2011;4. </w:t>
      </w:r>
    </w:p>
    <w:p w:rsidR="001C336F" w:rsidRDefault="00C657BF">
      <w:pPr>
        <w:numPr>
          <w:ilvl w:val="0"/>
          <w:numId w:val="5"/>
        </w:numPr>
        <w:ind w:right="0"/>
      </w:pPr>
      <w:r>
        <w:t>Kho AN, Hayes MG, Rasmussen-</w:t>
      </w:r>
      <w:proofErr w:type="spellStart"/>
      <w:r>
        <w:t>Torvik</w:t>
      </w:r>
      <w:proofErr w:type="spellEnd"/>
      <w:r>
        <w:t xml:space="preserve"> L, et a</w:t>
      </w:r>
      <w:r>
        <w:t xml:space="preserve">l. Use of diverse electronic medical record systems to identify genetic risk for type 2 diabetes within a genome-wide association study. J Am Med Inform Ass </w:t>
      </w:r>
      <w:proofErr w:type="gramStart"/>
      <w:r>
        <w:t>2012;19:212</w:t>
      </w:r>
      <w:proofErr w:type="gramEnd"/>
      <w:r>
        <w:t xml:space="preserve">-8. </w:t>
      </w:r>
    </w:p>
    <w:p w:rsidR="001C336F" w:rsidRDefault="00C657BF">
      <w:pPr>
        <w:numPr>
          <w:ilvl w:val="0"/>
          <w:numId w:val="5"/>
        </w:numPr>
        <w:ind w:right="0"/>
      </w:pPr>
      <w:r>
        <w:t xml:space="preserve">Table of Pharmacogenomic Biomarkers in Drug Labels. (Accessed July 13, 2012, at </w:t>
      </w:r>
      <w:hyperlink r:id="rId7">
        <w:r>
          <w:rPr>
            <w:color w:val="0000FF"/>
            <w:u w:val="single" w:color="0000FF"/>
          </w:rPr>
          <w:t>http://www.fda.gov/Drugs/ScienceResearch/ResearchAreas/Pharmacogenetics/ucm083378.htm.</w:t>
        </w:r>
      </w:hyperlink>
      <w:hyperlink r:id="rId8">
        <w:r>
          <w:t>)</w:t>
        </w:r>
      </w:hyperlink>
      <w:r>
        <w:t xml:space="preserve"> 4. Lincoln </w:t>
      </w:r>
      <w:proofErr w:type="spellStart"/>
      <w:r>
        <w:t>YSaG</w:t>
      </w:r>
      <w:proofErr w:type="spellEnd"/>
      <w:r>
        <w:t xml:space="preserve">, E.G. Naturalistic Inquiry. Beverly Hills: Sage; 1985. </w:t>
      </w:r>
    </w:p>
    <w:p w:rsidR="001C336F" w:rsidRDefault="00C657BF">
      <w:pPr>
        <w:numPr>
          <w:ilvl w:val="0"/>
          <w:numId w:val="6"/>
        </w:numPr>
        <w:ind w:right="0"/>
      </w:pPr>
      <w:r>
        <w:lastRenderedPageBreak/>
        <w:t xml:space="preserve">Lemke AA, Smith ME, Wolf WA, Trinidad SB. Broad data sharing in genetic research: views of institutional review board professionals. IRB </w:t>
      </w:r>
      <w:proofErr w:type="gramStart"/>
      <w:r>
        <w:t>2011;3</w:t>
      </w:r>
      <w:r>
        <w:t>3:1</w:t>
      </w:r>
      <w:proofErr w:type="gramEnd"/>
      <w:r>
        <w:t xml:space="preserve">-5. </w:t>
      </w:r>
    </w:p>
    <w:p w:rsidR="001C336F" w:rsidRDefault="00C657BF">
      <w:pPr>
        <w:numPr>
          <w:ilvl w:val="0"/>
          <w:numId w:val="6"/>
        </w:numPr>
        <w:ind w:right="0"/>
      </w:pPr>
      <w:r>
        <w:t>Lemke AA, Wolf WA, Hebert-</w:t>
      </w:r>
      <w:proofErr w:type="spellStart"/>
      <w:r>
        <w:t>Beirne</w:t>
      </w:r>
      <w:proofErr w:type="spellEnd"/>
      <w:r>
        <w:t xml:space="preserve"> J, Smith ME. Public and Biobank Participant Attitudes toward Genetic Research Participation and Data Sharing. Public Health Genomics </w:t>
      </w:r>
      <w:proofErr w:type="gramStart"/>
      <w:r>
        <w:t>2010;13:368</w:t>
      </w:r>
      <w:proofErr w:type="gramEnd"/>
      <w:r>
        <w:t xml:space="preserve">-77. </w:t>
      </w:r>
    </w:p>
    <w:p w:rsidR="001C336F" w:rsidRDefault="00C657BF">
      <w:pPr>
        <w:numPr>
          <w:ilvl w:val="0"/>
          <w:numId w:val="6"/>
        </w:numPr>
        <w:ind w:right="0"/>
      </w:pPr>
      <w:r>
        <w:t>The Electronic Medical Records and Genomics (</w:t>
      </w:r>
      <w:proofErr w:type="spellStart"/>
      <w:r>
        <w:t>eMERGE</w:t>
      </w:r>
      <w:proofErr w:type="spellEnd"/>
      <w:r>
        <w:t>) Network Cons</w:t>
      </w:r>
      <w:r>
        <w:t xml:space="preserve">ent &amp; Community Consultation Workgroup Informed Consent Task Force: MODEL CONSENT LANGUAGE. 2009. </w:t>
      </w:r>
    </w:p>
    <w:p w:rsidR="001C336F" w:rsidRDefault="00C657BF">
      <w:pPr>
        <w:ind w:left="730" w:right="0"/>
      </w:pPr>
      <w:r>
        <w:t xml:space="preserve">http://www.genome.gov/Pages/PolicyEthics/InformedConsent/eMERGEModelLanguage2009-12-15.pdf </w:t>
      </w:r>
    </w:p>
    <w:p w:rsidR="001C336F" w:rsidRDefault="00C657BF">
      <w:pPr>
        <w:numPr>
          <w:ilvl w:val="0"/>
          <w:numId w:val="6"/>
        </w:numPr>
        <w:ind w:right="0"/>
      </w:pPr>
      <w:r>
        <w:t xml:space="preserve">Lemke AA, Wu JT, </w:t>
      </w:r>
      <w:proofErr w:type="spellStart"/>
      <w:r>
        <w:t>Waudby</w:t>
      </w:r>
      <w:proofErr w:type="spellEnd"/>
      <w:r>
        <w:t xml:space="preserve"> C, Pulley J, </w:t>
      </w:r>
      <w:proofErr w:type="spellStart"/>
      <w:r>
        <w:t>Somkin</w:t>
      </w:r>
      <w:proofErr w:type="spellEnd"/>
      <w:r>
        <w:t xml:space="preserve"> CP, Trinidad SB. Comm</w:t>
      </w:r>
      <w:r>
        <w:t xml:space="preserve">unity engagement in biobanking: Experiences from the </w:t>
      </w:r>
      <w:proofErr w:type="spellStart"/>
      <w:r>
        <w:t>eMERGE</w:t>
      </w:r>
      <w:proofErr w:type="spellEnd"/>
      <w:r>
        <w:t xml:space="preserve"> Network. Genomics Soc Policy </w:t>
      </w:r>
      <w:proofErr w:type="gramStart"/>
      <w:r>
        <w:t>2010;6:35</w:t>
      </w:r>
      <w:proofErr w:type="gramEnd"/>
      <w:r>
        <w:t xml:space="preserve">-52. </w:t>
      </w:r>
    </w:p>
    <w:p w:rsidR="001C336F" w:rsidRDefault="00C657BF">
      <w:pPr>
        <w:numPr>
          <w:ilvl w:val="0"/>
          <w:numId w:val="6"/>
        </w:numPr>
        <w:ind w:right="0"/>
      </w:pPr>
      <w:r>
        <w:t xml:space="preserve">Kho AN, Pacheco JA, </w:t>
      </w:r>
      <w:proofErr w:type="spellStart"/>
      <w:r>
        <w:t>Peissig</w:t>
      </w:r>
      <w:proofErr w:type="spellEnd"/>
      <w:r>
        <w:t xml:space="preserve"> PL, et al. Electronic medical records for genetic research: results of the </w:t>
      </w:r>
      <w:proofErr w:type="spellStart"/>
      <w:r>
        <w:t>eMERGE</w:t>
      </w:r>
      <w:proofErr w:type="spellEnd"/>
      <w:r>
        <w:t xml:space="preserve"> consortium. Sci </w:t>
      </w:r>
      <w:proofErr w:type="spellStart"/>
      <w:r>
        <w:t>Transl</w:t>
      </w:r>
      <w:proofErr w:type="spellEnd"/>
      <w:r>
        <w:t xml:space="preserve"> Med </w:t>
      </w:r>
      <w:proofErr w:type="gramStart"/>
      <w:r>
        <w:t>2011;3:79</w:t>
      </w:r>
      <w:proofErr w:type="gramEnd"/>
      <w:r>
        <w:t xml:space="preserve">re1. </w:t>
      </w:r>
    </w:p>
    <w:p w:rsidR="001C336F" w:rsidRDefault="00C657BF">
      <w:pPr>
        <w:numPr>
          <w:ilvl w:val="0"/>
          <w:numId w:val="6"/>
        </w:numPr>
        <w:ind w:right="0"/>
      </w:pPr>
      <w:proofErr w:type="spellStart"/>
      <w:r>
        <w:t>Persell</w:t>
      </w:r>
      <w:proofErr w:type="spellEnd"/>
      <w:r>
        <w:t xml:space="preserve"> SD, Kaiser D, Dolan NC, et al. Changes in performance after implementation of a multifaceted electronic-health-record-based quality improvement system. Med Care </w:t>
      </w:r>
      <w:proofErr w:type="gramStart"/>
      <w:r>
        <w:t>2011;49:117</w:t>
      </w:r>
      <w:proofErr w:type="gramEnd"/>
      <w:r>
        <w:t xml:space="preserve">-25. </w:t>
      </w:r>
    </w:p>
    <w:p w:rsidR="001C336F" w:rsidRDefault="00C657BF">
      <w:pPr>
        <w:spacing w:after="0" w:line="259" w:lineRule="auto"/>
        <w:ind w:left="0" w:right="0" w:firstLine="0"/>
        <w:jc w:val="left"/>
      </w:pPr>
      <w:r>
        <w:t xml:space="preserve"> </w:t>
      </w:r>
    </w:p>
    <w:p w:rsidR="001C336F" w:rsidRDefault="00C657BF">
      <w:pPr>
        <w:pStyle w:val="2"/>
        <w:ind w:left="-5"/>
      </w:pPr>
      <w:r>
        <w:t>Vanderbilt University</w:t>
      </w:r>
      <w:r>
        <w:rPr>
          <w:b w:val="0"/>
          <w:i/>
        </w:rPr>
        <w:t xml:space="preserve"> </w:t>
      </w:r>
    </w:p>
    <w:p w:rsidR="001C336F" w:rsidRDefault="00C657BF">
      <w:pPr>
        <w:ind w:left="-5" w:right="0"/>
      </w:pPr>
      <w:r>
        <w:t xml:space="preserve">Vanderbilt proposed four aims for their </w:t>
      </w:r>
      <w:proofErr w:type="spellStart"/>
      <w:r>
        <w:t>eMERG</w:t>
      </w:r>
      <w:r>
        <w:t>E</w:t>
      </w:r>
      <w:proofErr w:type="spellEnd"/>
      <w:r>
        <w:t xml:space="preserve"> II project: 1) accelerating development of phenotype extraction algorithms through a principled approach to selecting and building phenotype algorithms; 2) to investigate combinations of genotypes highly predictive of disease and disease outcomes; 3) to </w:t>
      </w:r>
      <w:r>
        <w:t>study patient perspectives of genetic testing to guide drug prescribing; and, 4) to develop tools to maximize the ability to share genomic information while preserving privacy. Pharmacogenetic phenotypes that could potentially alter care were of particular</w:t>
      </w:r>
      <w:r>
        <w:t xml:space="preserve"> interest, and the primary phenotypes are listed in Table S2. An important part of discovery understanding the range of phenotypes associations with genetic variation. Thus, they are more broadly deploying the EMR-based phenome-wide association study (</w:t>
      </w:r>
      <w:proofErr w:type="spellStart"/>
      <w:r>
        <w:t>PheW</w:t>
      </w:r>
      <w:r>
        <w:t>AS</w:t>
      </w:r>
      <w:proofErr w:type="spellEnd"/>
      <w:r>
        <w:t>)</w:t>
      </w:r>
      <w:r>
        <w:rPr>
          <w:vertAlign w:val="superscript"/>
        </w:rPr>
        <w:t>1</w:t>
      </w:r>
      <w:r>
        <w:t xml:space="preserve"> to broadly investigate pleiotropy with discovered variants and to guide further phenotype investigation. </w:t>
      </w:r>
      <w:proofErr w:type="gramStart"/>
      <w:r>
        <w:t>Their</w:t>
      </w:r>
      <w:proofErr w:type="gramEnd"/>
      <w:r>
        <w:t xml:space="preserve"> </w:t>
      </w:r>
      <w:proofErr w:type="spellStart"/>
      <w:r>
        <w:t>eMERGE</w:t>
      </w:r>
      <w:proofErr w:type="spellEnd"/>
      <w:r>
        <w:t xml:space="preserve"> II project builds upon the PREDICT (Pharmacogenomic Resource for Enhanced Decisions in Care and Treatment) program</w:t>
      </w:r>
      <w:r>
        <w:rPr>
          <w:vertAlign w:val="superscript"/>
        </w:rPr>
        <w:t>2</w:t>
      </w:r>
      <w:r>
        <w:t>, which seeks to p</w:t>
      </w:r>
      <w:r>
        <w:t xml:space="preserve">rospectively test patients at risk for receiving medications with known pharmacogenetic influences. The project currently provides computerized decision support advice for clopidogrel, warfarin, and simvastatin based on testing using the Illumina </w:t>
      </w:r>
      <w:proofErr w:type="spellStart"/>
      <w:r>
        <w:t>VeraCode</w:t>
      </w:r>
      <w:proofErr w:type="spellEnd"/>
      <w:r>
        <w:t xml:space="preserve"> </w:t>
      </w:r>
      <w:r>
        <w:t>ADME platform. More than 10,000 patients have been tested for PREDICT as of December 2012. They have shown that exposure to medications with known pharmacogenetic influences is a common event, with 65% of a normal outpatient population receiving at least o</w:t>
      </w:r>
      <w:r>
        <w:t>ne medication with Food and Drug Administration-asserted genetic influences.</w:t>
      </w:r>
      <w:r>
        <w:rPr>
          <w:vertAlign w:val="superscript"/>
        </w:rPr>
        <w:t>3</w:t>
      </w:r>
      <w:r>
        <w:t xml:space="preserve"> </w:t>
      </w:r>
    </w:p>
    <w:p w:rsidR="001C336F" w:rsidRDefault="00C657BF">
      <w:pPr>
        <w:spacing w:after="0" w:line="259" w:lineRule="auto"/>
        <w:ind w:left="0" w:right="0" w:firstLine="0"/>
        <w:jc w:val="left"/>
      </w:pPr>
      <w:r>
        <w:t xml:space="preserve"> </w:t>
      </w:r>
    </w:p>
    <w:p w:rsidR="001C336F" w:rsidRDefault="00C657BF">
      <w:pPr>
        <w:numPr>
          <w:ilvl w:val="0"/>
          <w:numId w:val="7"/>
        </w:numPr>
        <w:ind w:right="0"/>
      </w:pPr>
      <w:r>
        <w:t xml:space="preserve">Denny, J. C. </w:t>
      </w:r>
      <w:r>
        <w:rPr>
          <w:i/>
        </w:rPr>
        <w:t>et al.</w:t>
      </w:r>
      <w:r>
        <w:t xml:space="preserve"> </w:t>
      </w:r>
      <w:proofErr w:type="spellStart"/>
      <w:r>
        <w:t>PheWAS</w:t>
      </w:r>
      <w:proofErr w:type="spellEnd"/>
      <w:r>
        <w:t xml:space="preserve">: demonstrating the feasibility of a phenome-wide scan to discover gene-disease associations. </w:t>
      </w:r>
      <w:r>
        <w:rPr>
          <w:i/>
        </w:rPr>
        <w:t>Bioinformatics</w:t>
      </w:r>
      <w:r>
        <w:t xml:space="preserve"> </w:t>
      </w:r>
      <w:proofErr w:type="gramStart"/>
      <w:r>
        <w:t>2010;26:1205</w:t>
      </w:r>
      <w:proofErr w:type="gramEnd"/>
      <w:r>
        <w:t xml:space="preserve">–1210. </w:t>
      </w:r>
    </w:p>
    <w:p w:rsidR="001C336F" w:rsidRDefault="00C657BF">
      <w:pPr>
        <w:numPr>
          <w:ilvl w:val="0"/>
          <w:numId w:val="7"/>
        </w:numPr>
        <w:ind w:right="0"/>
      </w:pPr>
      <w:r>
        <w:t xml:space="preserve">Pulley, J. M. </w:t>
      </w:r>
      <w:r>
        <w:rPr>
          <w:i/>
        </w:rPr>
        <w:t>et al.</w:t>
      </w:r>
      <w:r>
        <w:t xml:space="preserve"> Operational implementation of prospective genotyping for personalized medicine: The design of the Vanderbilt PREDICT Project. </w:t>
      </w:r>
      <w:r>
        <w:rPr>
          <w:i/>
        </w:rPr>
        <w:t xml:space="preserve">Clin </w:t>
      </w:r>
      <w:proofErr w:type="spellStart"/>
      <w:r>
        <w:rPr>
          <w:i/>
        </w:rPr>
        <w:t>Pharmacol</w:t>
      </w:r>
      <w:proofErr w:type="spellEnd"/>
      <w:r>
        <w:rPr>
          <w:i/>
        </w:rPr>
        <w:t xml:space="preserve"> Therap</w:t>
      </w:r>
      <w:r>
        <w:t xml:space="preserve">. doi:10.1038/clpt.2011.371 </w:t>
      </w:r>
    </w:p>
    <w:p w:rsidR="001C336F" w:rsidRDefault="00C657BF">
      <w:pPr>
        <w:numPr>
          <w:ilvl w:val="0"/>
          <w:numId w:val="7"/>
        </w:numPr>
        <w:ind w:right="0"/>
      </w:pPr>
      <w:proofErr w:type="spellStart"/>
      <w:r>
        <w:t>Schildcrout</w:t>
      </w:r>
      <w:proofErr w:type="spellEnd"/>
      <w:r>
        <w:t xml:space="preserve">, J. S. </w:t>
      </w:r>
      <w:r>
        <w:rPr>
          <w:i/>
        </w:rPr>
        <w:t>et al.</w:t>
      </w:r>
      <w:r>
        <w:t xml:space="preserve"> </w:t>
      </w:r>
      <w:r>
        <w:t xml:space="preserve">Optimizing drug outcomes through pharmacogenetics: A Case for preemptive genotyping. </w:t>
      </w:r>
      <w:r>
        <w:rPr>
          <w:i/>
        </w:rPr>
        <w:t xml:space="preserve">Clin </w:t>
      </w:r>
      <w:proofErr w:type="spellStart"/>
      <w:r>
        <w:rPr>
          <w:i/>
        </w:rPr>
        <w:t>Pharmacol</w:t>
      </w:r>
      <w:proofErr w:type="spellEnd"/>
      <w:r>
        <w:rPr>
          <w:i/>
        </w:rPr>
        <w:t xml:space="preserve"> &amp; </w:t>
      </w:r>
      <w:proofErr w:type="spellStart"/>
      <w:r>
        <w:rPr>
          <w:i/>
        </w:rPr>
        <w:t>Therap</w:t>
      </w:r>
      <w:proofErr w:type="spellEnd"/>
      <w:r>
        <w:t xml:space="preserve"> </w:t>
      </w:r>
      <w:proofErr w:type="gramStart"/>
      <w:r>
        <w:t>2012;92:235</w:t>
      </w:r>
      <w:proofErr w:type="gramEnd"/>
      <w:r>
        <w:t xml:space="preserve">–242. </w:t>
      </w:r>
    </w:p>
    <w:p w:rsidR="001C336F" w:rsidRDefault="00C657BF">
      <w:pPr>
        <w:spacing w:after="0" w:line="259" w:lineRule="auto"/>
        <w:ind w:left="720" w:right="0" w:firstLine="0"/>
        <w:jc w:val="left"/>
      </w:pPr>
      <w:r>
        <w:t xml:space="preserve"> </w:t>
      </w:r>
    </w:p>
    <w:p w:rsidR="001C336F" w:rsidRDefault="00C657BF">
      <w:pPr>
        <w:pStyle w:val="2"/>
        <w:ind w:left="-5"/>
      </w:pPr>
      <w:r>
        <w:t>Coordinating Center</w:t>
      </w:r>
      <w:r>
        <w:rPr>
          <w:b w:val="0"/>
        </w:rPr>
        <w:t xml:space="preserve"> </w:t>
      </w:r>
    </w:p>
    <w:p w:rsidR="001C336F" w:rsidRDefault="00C657BF">
      <w:pPr>
        <w:spacing w:after="26"/>
        <w:ind w:left="-5" w:right="0"/>
      </w:pPr>
      <w:r>
        <w:t xml:space="preserve">The </w:t>
      </w:r>
      <w:proofErr w:type="spellStart"/>
      <w:r>
        <w:t>eMERGE</w:t>
      </w:r>
      <w:proofErr w:type="spellEnd"/>
      <w:r>
        <w:t xml:space="preserve"> Network Coordinating Center (CC), located at Vanderbilt University Medical Center with a subcon</w:t>
      </w:r>
      <w:r>
        <w:t xml:space="preserve">tract to The Pennsylvania State University, is the central communications and administrative hub of </w:t>
      </w:r>
      <w:proofErr w:type="spellStart"/>
      <w:r>
        <w:t>eMERGE</w:t>
      </w:r>
      <w:proofErr w:type="spellEnd"/>
      <w:r>
        <w:t>. The CC coordinates all in-person steering committee meetings and provides project management and administrative support to all six Network workgroup</w:t>
      </w:r>
      <w:r>
        <w:t>s and the External Scientific Panel. The CC has developed and maintains the primary Network web portal (www.gwas.org) and provides organizational dashboards detailing site-specific and Network progress against goals. The CC also provides leadership in thre</w:t>
      </w:r>
      <w:r>
        <w:t>e key areas: advancement of electronic phenotyping, genomic data management, and data privacy. Phenotyping efforts include development of a web-based library for electronic phenotypes (</w:t>
      </w:r>
      <w:hyperlink r:id="rId9">
        <w:r>
          <w:rPr>
            <w:color w:val="0000FF"/>
            <w:u w:val="single" w:color="0000FF"/>
          </w:rPr>
          <w:t>http://PheKB.org</w:t>
        </w:r>
      </w:hyperlink>
      <w:hyperlink r:id="rId10">
        <w:r>
          <w:t>)</w:t>
        </w:r>
      </w:hyperlink>
      <w:r>
        <w:t xml:space="preserve"> and development and implementation of a high-throughput phenotype-genotype association discovery method combining EMR and genetic data (</w:t>
      </w:r>
      <w:proofErr w:type="spellStart"/>
      <w:r>
        <w:t>PheWAS</w:t>
      </w:r>
      <w:proofErr w:type="spellEnd"/>
      <w:r>
        <w:t xml:space="preserve">). GWAS data are available from over 18,000 </w:t>
      </w:r>
      <w:proofErr w:type="spellStart"/>
      <w:r>
        <w:t>eMERGE</w:t>
      </w:r>
      <w:proofErr w:type="spellEnd"/>
      <w:r>
        <w:t xml:space="preserve">-I subjects and an additional 24,000 from </w:t>
      </w:r>
      <w:proofErr w:type="spellStart"/>
      <w:r>
        <w:t>e</w:t>
      </w:r>
      <w:r>
        <w:t>MERGE</w:t>
      </w:r>
      <w:proofErr w:type="spellEnd"/>
      <w:r>
        <w:t xml:space="preserve">-II. User-friendly software for de-identification and privacy has been developed and is available for all sites. </w:t>
      </w:r>
    </w:p>
    <w:p w:rsidR="001C336F" w:rsidRDefault="00C657BF">
      <w:pPr>
        <w:spacing w:after="0" w:line="259" w:lineRule="auto"/>
        <w:ind w:left="0" w:right="0" w:firstLine="0"/>
        <w:jc w:val="left"/>
      </w:pPr>
      <w:r>
        <w:rPr>
          <w:rFonts w:ascii="Times New Roman" w:eastAsia="Times New Roman" w:hAnsi="Times New Roman" w:cs="Times New Roman"/>
          <w:sz w:val="24"/>
        </w:rPr>
        <w:t xml:space="preserve"> </w:t>
      </w:r>
    </w:p>
    <w:p w:rsidR="001C336F" w:rsidRDefault="001C336F">
      <w:pPr>
        <w:sectPr w:rsidR="001C336F">
          <w:headerReference w:type="even" r:id="rId11"/>
          <w:headerReference w:type="default" r:id="rId12"/>
          <w:headerReference w:type="first" r:id="rId13"/>
          <w:pgSz w:w="12240" w:h="15840"/>
          <w:pgMar w:top="1442" w:right="1075" w:bottom="1463" w:left="1080" w:header="669" w:footer="720" w:gutter="0"/>
          <w:cols w:space="720"/>
        </w:sectPr>
      </w:pPr>
    </w:p>
    <w:p w:rsidR="001C336F" w:rsidRDefault="00C657BF">
      <w:pPr>
        <w:spacing w:after="0" w:line="259" w:lineRule="auto"/>
        <w:ind w:left="0" w:right="0" w:firstLine="0"/>
        <w:jc w:val="left"/>
      </w:pPr>
      <w:r>
        <w:rPr>
          <w:b/>
          <w:sz w:val="24"/>
        </w:rPr>
        <w:lastRenderedPageBreak/>
        <w:t>Table S1.</w:t>
      </w:r>
      <w:r>
        <w:rPr>
          <w:sz w:val="24"/>
        </w:rPr>
        <w:t xml:space="preserve"> Summary of </w:t>
      </w:r>
      <w:proofErr w:type="spellStart"/>
      <w:r>
        <w:rPr>
          <w:sz w:val="24"/>
        </w:rPr>
        <w:t>eMERGE</w:t>
      </w:r>
      <w:proofErr w:type="spellEnd"/>
      <w:r>
        <w:rPr>
          <w:sz w:val="24"/>
        </w:rPr>
        <w:t xml:space="preserve">-II Activities at Each Site </w:t>
      </w:r>
    </w:p>
    <w:p w:rsidR="001C336F" w:rsidRDefault="00C657BF">
      <w:pPr>
        <w:spacing w:after="0" w:line="259" w:lineRule="auto"/>
        <w:ind w:left="0" w:right="0" w:firstLine="0"/>
        <w:jc w:val="left"/>
      </w:pPr>
      <w:r>
        <w:t xml:space="preserve"> </w:t>
      </w:r>
    </w:p>
    <w:p w:rsidR="001C336F" w:rsidRDefault="00C657BF">
      <w:pPr>
        <w:spacing w:after="0" w:line="259" w:lineRule="auto"/>
        <w:ind w:left="-108" w:right="-150" w:firstLine="0"/>
        <w:jc w:val="left"/>
      </w:pPr>
      <w:r>
        <w:rPr>
          <w:rFonts w:ascii="Calibri" w:eastAsia="Calibri" w:hAnsi="Calibri" w:cs="Calibri"/>
          <w:noProof/>
          <w:sz w:val="22"/>
        </w:rPr>
        <mc:AlternateContent>
          <mc:Choice Requires="wpg">
            <w:drawing>
              <wp:inline distT="0" distB="0" distL="0" distR="0">
                <wp:extent cx="8642350" cy="12192"/>
                <wp:effectExtent l="0" t="0" r="0" b="0"/>
                <wp:docPr id="19547" name="Group 19547"/>
                <wp:cNvGraphicFramePr/>
                <a:graphic xmlns:a="http://schemas.openxmlformats.org/drawingml/2006/main">
                  <a:graphicData uri="http://schemas.microsoft.com/office/word/2010/wordprocessingGroup">
                    <wpg:wgp>
                      <wpg:cNvGrpSpPr/>
                      <wpg:grpSpPr>
                        <a:xfrm>
                          <a:off x="0" y="0"/>
                          <a:ext cx="8642350" cy="12192"/>
                          <a:chOff x="0" y="0"/>
                          <a:chExt cx="8642350" cy="12192"/>
                        </a:xfrm>
                      </wpg:grpSpPr>
                      <wps:wsp>
                        <wps:cNvPr id="23129" name="Shape 23129"/>
                        <wps:cNvSpPr/>
                        <wps:spPr>
                          <a:xfrm>
                            <a:off x="0" y="0"/>
                            <a:ext cx="1498346" cy="12192"/>
                          </a:xfrm>
                          <a:custGeom>
                            <a:avLst/>
                            <a:gdLst/>
                            <a:ahLst/>
                            <a:cxnLst/>
                            <a:rect l="0" t="0" r="0" b="0"/>
                            <a:pathLst>
                              <a:path w="1498346" h="12192">
                                <a:moveTo>
                                  <a:pt x="0" y="0"/>
                                </a:moveTo>
                                <a:lnTo>
                                  <a:pt x="1498346" y="0"/>
                                </a:lnTo>
                                <a:lnTo>
                                  <a:pt x="149834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30" name="Shape 23130"/>
                        <wps:cNvSpPr/>
                        <wps:spPr>
                          <a:xfrm>
                            <a:off x="149834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31" name="Shape 23131"/>
                        <wps:cNvSpPr/>
                        <wps:spPr>
                          <a:xfrm>
                            <a:off x="1510538" y="0"/>
                            <a:ext cx="1644650" cy="12192"/>
                          </a:xfrm>
                          <a:custGeom>
                            <a:avLst/>
                            <a:gdLst/>
                            <a:ahLst/>
                            <a:cxnLst/>
                            <a:rect l="0" t="0" r="0" b="0"/>
                            <a:pathLst>
                              <a:path w="1644650" h="12192">
                                <a:moveTo>
                                  <a:pt x="0" y="0"/>
                                </a:moveTo>
                                <a:lnTo>
                                  <a:pt x="1644650" y="0"/>
                                </a:lnTo>
                                <a:lnTo>
                                  <a:pt x="164465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32" name="Shape 23132"/>
                        <wps:cNvSpPr/>
                        <wps:spPr>
                          <a:xfrm>
                            <a:off x="3155315"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33" name="Shape 23133"/>
                        <wps:cNvSpPr/>
                        <wps:spPr>
                          <a:xfrm>
                            <a:off x="3167507" y="0"/>
                            <a:ext cx="1359408" cy="12192"/>
                          </a:xfrm>
                          <a:custGeom>
                            <a:avLst/>
                            <a:gdLst/>
                            <a:ahLst/>
                            <a:cxnLst/>
                            <a:rect l="0" t="0" r="0" b="0"/>
                            <a:pathLst>
                              <a:path w="1359408" h="12192">
                                <a:moveTo>
                                  <a:pt x="0" y="0"/>
                                </a:moveTo>
                                <a:lnTo>
                                  <a:pt x="1359408" y="0"/>
                                </a:lnTo>
                                <a:lnTo>
                                  <a:pt x="135940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34" name="Shape 23134"/>
                        <wps:cNvSpPr/>
                        <wps:spPr>
                          <a:xfrm>
                            <a:off x="4526915"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35" name="Shape 23135"/>
                        <wps:cNvSpPr/>
                        <wps:spPr>
                          <a:xfrm>
                            <a:off x="4539107" y="0"/>
                            <a:ext cx="1359662" cy="12192"/>
                          </a:xfrm>
                          <a:custGeom>
                            <a:avLst/>
                            <a:gdLst/>
                            <a:ahLst/>
                            <a:cxnLst/>
                            <a:rect l="0" t="0" r="0" b="0"/>
                            <a:pathLst>
                              <a:path w="1359662" h="12192">
                                <a:moveTo>
                                  <a:pt x="0" y="0"/>
                                </a:moveTo>
                                <a:lnTo>
                                  <a:pt x="1359662" y="0"/>
                                </a:lnTo>
                                <a:lnTo>
                                  <a:pt x="135966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36" name="Shape 23136"/>
                        <wps:cNvSpPr/>
                        <wps:spPr>
                          <a:xfrm>
                            <a:off x="5898769"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37" name="Shape 23137"/>
                        <wps:cNvSpPr/>
                        <wps:spPr>
                          <a:xfrm>
                            <a:off x="5910962" y="0"/>
                            <a:ext cx="1359662" cy="12192"/>
                          </a:xfrm>
                          <a:custGeom>
                            <a:avLst/>
                            <a:gdLst/>
                            <a:ahLst/>
                            <a:cxnLst/>
                            <a:rect l="0" t="0" r="0" b="0"/>
                            <a:pathLst>
                              <a:path w="1359662" h="12192">
                                <a:moveTo>
                                  <a:pt x="0" y="0"/>
                                </a:moveTo>
                                <a:lnTo>
                                  <a:pt x="1359662" y="0"/>
                                </a:lnTo>
                                <a:lnTo>
                                  <a:pt x="135966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38" name="Shape 23138"/>
                        <wps:cNvSpPr/>
                        <wps:spPr>
                          <a:xfrm>
                            <a:off x="727075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39" name="Shape 23139"/>
                        <wps:cNvSpPr/>
                        <wps:spPr>
                          <a:xfrm>
                            <a:off x="7282943" y="0"/>
                            <a:ext cx="1359408" cy="12192"/>
                          </a:xfrm>
                          <a:custGeom>
                            <a:avLst/>
                            <a:gdLst/>
                            <a:ahLst/>
                            <a:cxnLst/>
                            <a:rect l="0" t="0" r="0" b="0"/>
                            <a:pathLst>
                              <a:path w="1359408" h="12192">
                                <a:moveTo>
                                  <a:pt x="0" y="0"/>
                                </a:moveTo>
                                <a:lnTo>
                                  <a:pt x="1359408" y="0"/>
                                </a:lnTo>
                                <a:lnTo>
                                  <a:pt x="135940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547" style="width:680.5pt;height:0.960022pt;mso-position-horizontal-relative:char;mso-position-vertical-relative:line" coordsize="86423,121">
                <v:shape id="Shape 23140" style="position:absolute;width:14983;height:121;left:0;top:0;" coordsize="1498346,12192" path="m0,0l1498346,0l1498346,12192l0,12192l0,0">
                  <v:stroke weight="0pt" endcap="flat" joinstyle="miter" miterlimit="10" on="false" color="#000000" opacity="0"/>
                  <v:fill on="true" color="#000000"/>
                </v:shape>
                <v:shape id="Shape 23141" style="position:absolute;width:121;height:121;left:14983;top:0;" coordsize="12192,12192" path="m0,0l12192,0l12192,12192l0,12192l0,0">
                  <v:stroke weight="0pt" endcap="flat" joinstyle="miter" miterlimit="10" on="false" color="#000000" opacity="0"/>
                  <v:fill on="true" color="#000000"/>
                </v:shape>
                <v:shape id="Shape 23142" style="position:absolute;width:16446;height:121;left:15105;top:0;" coordsize="1644650,12192" path="m0,0l1644650,0l1644650,12192l0,12192l0,0">
                  <v:stroke weight="0pt" endcap="flat" joinstyle="miter" miterlimit="10" on="false" color="#000000" opacity="0"/>
                  <v:fill on="true" color="#000000"/>
                </v:shape>
                <v:shape id="Shape 23143" style="position:absolute;width:121;height:121;left:31553;top:0;" coordsize="12192,12192" path="m0,0l12192,0l12192,12192l0,12192l0,0">
                  <v:stroke weight="0pt" endcap="flat" joinstyle="miter" miterlimit="10" on="false" color="#000000" opacity="0"/>
                  <v:fill on="true" color="#000000"/>
                </v:shape>
                <v:shape id="Shape 23144" style="position:absolute;width:13594;height:121;left:31675;top:0;" coordsize="1359408,12192" path="m0,0l1359408,0l1359408,12192l0,12192l0,0">
                  <v:stroke weight="0pt" endcap="flat" joinstyle="miter" miterlimit="10" on="false" color="#000000" opacity="0"/>
                  <v:fill on="true" color="#000000"/>
                </v:shape>
                <v:shape id="Shape 23145" style="position:absolute;width:121;height:121;left:45269;top:0;" coordsize="12192,12192" path="m0,0l12192,0l12192,12192l0,12192l0,0">
                  <v:stroke weight="0pt" endcap="flat" joinstyle="miter" miterlimit="10" on="false" color="#000000" opacity="0"/>
                  <v:fill on="true" color="#000000"/>
                </v:shape>
                <v:shape id="Shape 23146" style="position:absolute;width:13596;height:121;left:45391;top:0;" coordsize="1359662,12192" path="m0,0l1359662,0l1359662,12192l0,12192l0,0">
                  <v:stroke weight="0pt" endcap="flat" joinstyle="miter" miterlimit="10" on="false" color="#000000" opacity="0"/>
                  <v:fill on="true" color="#000000"/>
                </v:shape>
                <v:shape id="Shape 23147" style="position:absolute;width:121;height:121;left:58987;top:0;" coordsize="12192,12192" path="m0,0l12192,0l12192,12192l0,12192l0,0">
                  <v:stroke weight="0pt" endcap="flat" joinstyle="miter" miterlimit="10" on="false" color="#000000" opacity="0"/>
                  <v:fill on="true" color="#000000"/>
                </v:shape>
                <v:shape id="Shape 23148" style="position:absolute;width:13596;height:121;left:59109;top:0;" coordsize="1359662,12192" path="m0,0l1359662,0l1359662,12192l0,12192l0,0">
                  <v:stroke weight="0pt" endcap="flat" joinstyle="miter" miterlimit="10" on="false" color="#000000" opacity="0"/>
                  <v:fill on="true" color="#000000"/>
                </v:shape>
                <v:shape id="Shape 23149" style="position:absolute;width:121;height:121;left:72707;top:0;" coordsize="12192,12192" path="m0,0l12192,0l12192,12192l0,12192l0,0">
                  <v:stroke weight="0pt" endcap="flat" joinstyle="miter" miterlimit="10" on="false" color="#000000" opacity="0"/>
                  <v:fill on="true" color="#000000"/>
                </v:shape>
                <v:shape id="Shape 23150" style="position:absolute;width:13594;height:121;left:72829;top:0;" coordsize="1359408,12192" path="m0,0l1359408,0l1359408,12192l0,12192l0,0">
                  <v:stroke weight="0pt" endcap="flat" joinstyle="miter" miterlimit="10" on="false" color="#000000" opacity="0"/>
                  <v:fill on="true" color="#000000"/>
                </v:shape>
              </v:group>
            </w:pict>
          </mc:Fallback>
        </mc:AlternateContent>
      </w:r>
    </w:p>
    <w:p w:rsidR="001C336F" w:rsidRDefault="00C657BF">
      <w:pPr>
        <w:pStyle w:val="3"/>
        <w:tabs>
          <w:tab w:val="center" w:pos="2601"/>
          <w:tab w:val="center" w:pos="5213"/>
          <w:tab w:val="center" w:pos="7373"/>
          <w:tab w:val="center" w:pos="9534"/>
          <w:tab w:val="center" w:pos="11694"/>
        </w:tabs>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836676</wp:posOffset>
                </wp:positionH>
                <wp:positionV relativeFrom="page">
                  <wp:posOffset>6783019</wp:posOffset>
                </wp:positionV>
                <wp:extent cx="8651494" cy="12193"/>
                <wp:effectExtent l="0" t="0" r="0" b="0"/>
                <wp:wrapTopAndBottom/>
                <wp:docPr id="19548" name="Group 19548"/>
                <wp:cNvGraphicFramePr/>
                <a:graphic xmlns:a="http://schemas.openxmlformats.org/drawingml/2006/main">
                  <a:graphicData uri="http://schemas.microsoft.com/office/word/2010/wordprocessingGroup">
                    <wpg:wgp>
                      <wpg:cNvGrpSpPr/>
                      <wpg:grpSpPr>
                        <a:xfrm>
                          <a:off x="0" y="0"/>
                          <a:ext cx="8651494" cy="12193"/>
                          <a:chOff x="0" y="0"/>
                          <a:chExt cx="8651494" cy="12193"/>
                        </a:xfrm>
                      </wpg:grpSpPr>
                      <wps:wsp>
                        <wps:cNvPr id="23151" name="Shape 23151"/>
                        <wps:cNvSpPr/>
                        <wps:spPr>
                          <a:xfrm>
                            <a:off x="0" y="0"/>
                            <a:ext cx="1449578" cy="12193"/>
                          </a:xfrm>
                          <a:custGeom>
                            <a:avLst/>
                            <a:gdLst/>
                            <a:ahLst/>
                            <a:cxnLst/>
                            <a:rect l="0" t="0" r="0" b="0"/>
                            <a:pathLst>
                              <a:path w="1449578" h="12193">
                                <a:moveTo>
                                  <a:pt x="0" y="0"/>
                                </a:moveTo>
                                <a:lnTo>
                                  <a:pt x="1449578" y="0"/>
                                </a:lnTo>
                                <a:lnTo>
                                  <a:pt x="1449578"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2" name="Shape 23152"/>
                        <wps:cNvSpPr/>
                        <wps:spPr>
                          <a:xfrm>
                            <a:off x="1440434" y="0"/>
                            <a:ext cx="12192" cy="12193"/>
                          </a:xfrm>
                          <a:custGeom>
                            <a:avLst/>
                            <a:gdLst/>
                            <a:ahLst/>
                            <a:cxnLst/>
                            <a:rect l="0" t="0" r="0" b="0"/>
                            <a:pathLst>
                              <a:path w="12192" h="12193">
                                <a:moveTo>
                                  <a:pt x="0" y="0"/>
                                </a:moveTo>
                                <a:lnTo>
                                  <a:pt x="12192" y="0"/>
                                </a:lnTo>
                                <a:lnTo>
                                  <a:pt x="12192"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3" name="Shape 23153"/>
                        <wps:cNvSpPr/>
                        <wps:spPr>
                          <a:xfrm>
                            <a:off x="1452626" y="0"/>
                            <a:ext cx="1437386" cy="12193"/>
                          </a:xfrm>
                          <a:custGeom>
                            <a:avLst/>
                            <a:gdLst/>
                            <a:ahLst/>
                            <a:cxnLst/>
                            <a:rect l="0" t="0" r="0" b="0"/>
                            <a:pathLst>
                              <a:path w="1437386" h="12193">
                                <a:moveTo>
                                  <a:pt x="0" y="0"/>
                                </a:moveTo>
                                <a:lnTo>
                                  <a:pt x="1437386" y="0"/>
                                </a:lnTo>
                                <a:lnTo>
                                  <a:pt x="1437386"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4" name="Shape 23154"/>
                        <wps:cNvSpPr/>
                        <wps:spPr>
                          <a:xfrm>
                            <a:off x="2880995" y="0"/>
                            <a:ext cx="12192" cy="12193"/>
                          </a:xfrm>
                          <a:custGeom>
                            <a:avLst/>
                            <a:gdLst/>
                            <a:ahLst/>
                            <a:cxnLst/>
                            <a:rect l="0" t="0" r="0" b="0"/>
                            <a:pathLst>
                              <a:path w="12192" h="12193">
                                <a:moveTo>
                                  <a:pt x="0" y="0"/>
                                </a:moveTo>
                                <a:lnTo>
                                  <a:pt x="12192" y="0"/>
                                </a:lnTo>
                                <a:lnTo>
                                  <a:pt x="12192"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5" name="Shape 23155"/>
                        <wps:cNvSpPr/>
                        <wps:spPr>
                          <a:xfrm>
                            <a:off x="2893187" y="0"/>
                            <a:ext cx="1437132" cy="12193"/>
                          </a:xfrm>
                          <a:custGeom>
                            <a:avLst/>
                            <a:gdLst/>
                            <a:ahLst/>
                            <a:cxnLst/>
                            <a:rect l="0" t="0" r="0" b="0"/>
                            <a:pathLst>
                              <a:path w="1437132" h="12193">
                                <a:moveTo>
                                  <a:pt x="0" y="0"/>
                                </a:moveTo>
                                <a:lnTo>
                                  <a:pt x="1437132" y="0"/>
                                </a:lnTo>
                                <a:lnTo>
                                  <a:pt x="1437132"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6" name="Shape 23156"/>
                        <wps:cNvSpPr/>
                        <wps:spPr>
                          <a:xfrm>
                            <a:off x="4321175" y="0"/>
                            <a:ext cx="12192" cy="12193"/>
                          </a:xfrm>
                          <a:custGeom>
                            <a:avLst/>
                            <a:gdLst/>
                            <a:ahLst/>
                            <a:cxnLst/>
                            <a:rect l="0" t="0" r="0" b="0"/>
                            <a:pathLst>
                              <a:path w="12192" h="12193">
                                <a:moveTo>
                                  <a:pt x="0" y="0"/>
                                </a:moveTo>
                                <a:lnTo>
                                  <a:pt x="12192" y="0"/>
                                </a:lnTo>
                                <a:lnTo>
                                  <a:pt x="12192"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7" name="Shape 23157"/>
                        <wps:cNvSpPr/>
                        <wps:spPr>
                          <a:xfrm>
                            <a:off x="4333367" y="0"/>
                            <a:ext cx="1437386" cy="12193"/>
                          </a:xfrm>
                          <a:custGeom>
                            <a:avLst/>
                            <a:gdLst/>
                            <a:ahLst/>
                            <a:cxnLst/>
                            <a:rect l="0" t="0" r="0" b="0"/>
                            <a:pathLst>
                              <a:path w="1437386" h="12193">
                                <a:moveTo>
                                  <a:pt x="0" y="0"/>
                                </a:moveTo>
                                <a:lnTo>
                                  <a:pt x="1437386" y="0"/>
                                </a:lnTo>
                                <a:lnTo>
                                  <a:pt x="1437386"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8" name="Shape 23158"/>
                        <wps:cNvSpPr/>
                        <wps:spPr>
                          <a:xfrm>
                            <a:off x="5761609" y="0"/>
                            <a:ext cx="12192" cy="12193"/>
                          </a:xfrm>
                          <a:custGeom>
                            <a:avLst/>
                            <a:gdLst/>
                            <a:ahLst/>
                            <a:cxnLst/>
                            <a:rect l="0" t="0" r="0" b="0"/>
                            <a:pathLst>
                              <a:path w="12192" h="12193">
                                <a:moveTo>
                                  <a:pt x="0" y="0"/>
                                </a:moveTo>
                                <a:lnTo>
                                  <a:pt x="12192" y="0"/>
                                </a:lnTo>
                                <a:lnTo>
                                  <a:pt x="12192"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9" name="Shape 23159"/>
                        <wps:cNvSpPr/>
                        <wps:spPr>
                          <a:xfrm>
                            <a:off x="5773801" y="0"/>
                            <a:ext cx="1437386" cy="12193"/>
                          </a:xfrm>
                          <a:custGeom>
                            <a:avLst/>
                            <a:gdLst/>
                            <a:ahLst/>
                            <a:cxnLst/>
                            <a:rect l="0" t="0" r="0" b="0"/>
                            <a:pathLst>
                              <a:path w="1437386" h="12193">
                                <a:moveTo>
                                  <a:pt x="0" y="0"/>
                                </a:moveTo>
                                <a:lnTo>
                                  <a:pt x="1437386" y="0"/>
                                </a:lnTo>
                                <a:lnTo>
                                  <a:pt x="1437386"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60" name="Shape 23160"/>
                        <wps:cNvSpPr/>
                        <wps:spPr>
                          <a:xfrm>
                            <a:off x="7202170" y="0"/>
                            <a:ext cx="12192" cy="12193"/>
                          </a:xfrm>
                          <a:custGeom>
                            <a:avLst/>
                            <a:gdLst/>
                            <a:ahLst/>
                            <a:cxnLst/>
                            <a:rect l="0" t="0" r="0" b="0"/>
                            <a:pathLst>
                              <a:path w="12192" h="12193">
                                <a:moveTo>
                                  <a:pt x="0" y="0"/>
                                </a:moveTo>
                                <a:lnTo>
                                  <a:pt x="12192" y="0"/>
                                </a:lnTo>
                                <a:lnTo>
                                  <a:pt x="12192"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61" name="Shape 23161"/>
                        <wps:cNvSpPr/>
                        <wps:spPr>
                          <a:xfrm>
                            <a:off x="7214362" y="0"/>
                            <a:ext cx="1437132" cy="12193"/>
                          </a:xfrm>
                          <a:custGeom>
                            <a:avLst/>
                            <a:gdLst/>
                            <a:ahLst/>
                            <a:cxnLst/>
                            <a:rect l="0" t="0" r="0" b="0"/>
                            <a:pathLst>
                              <a:path w="1437132" h="12193">
                                <a:moveTo>
                                  <a:pt x="0" y="0"/>
                                </a:moveTo>
                                <a:lnTo>
                                  <a:pt x="1437132" y="0"/>
                                </a:lnTo>
                                <a:lnTo>
                                  <a:pt x="1437132" y="12193"/>
                                </a:lnTo>
                                <a:lnTo>
                                  <a:pt x="0" y="12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48" style="width:681.22pt;height:0.960083pt;position:absolute;mso-position-horizontal-relative:page;mso-position-horizontal:absolute;margin-left:65.88pt;mso-position-vertical-relative:page;margin-top:534.096pt;" coordsize="86514,121">
                <v:shape id="Shape 23162" style="position:absolute;width:14495;height:121;left:0;top:0;" coordsize="1449578,12193" path="m0,0l1449578,0l1449578,12193l0,12193l0,0">
                  <v:stroke weight="0pt" endcap="flat" joinstyle="miter" miterlimit="10" on="false" color="#000000" opacity="0"/>
                  <v:fill on="true" color="#000000"/>
                </v:shape>
                <v:shape id="Shape 23163" style="position:absolute;width:121;height:121;left:14404;top:0;" coordsize="12192,12193" path="m0,0l12192,0l12192,12193l0,12193l0,0">
                  <v:stroke weight="0pt" endcap="flat" joinstyle="miter" miterlimit="10" on="false" color="#000000" opacity="0"/>
                  <v:fill on="true" color="#000000"/>
                </v:shape>
                <v:shape id="Shape 23164" style="position:absolute;width:14373;height:121;left:14526;top:0;" coordsize="1437386,12193" path="m0,0l1437386,0l1437386,12193l0,12193l0,0">
                  <v:stroke weight="0pt" endcap="flat" joinstyle="miter" miterlimit="10" on="false" color="#000000" opacity="0"/>
                  <v:fill on="true" color="#000000"/>
                </v:shape>
                <v:shape id="Shape 23165" style="position:absolute;width:121;height:121;left:28809;top:0;" coordsize="12192,12193" path="m0,0l12192,0l12192,12193l0,12193l0,0">
                  <v:stroke weight="0pt" endcap="flat" joinstyle="miter" miterlimit="10" on="false" color="#000000" opacity="0"/>
                  <v:fill on="true" color="#000000"/>
                </v:shape>
                <v:shape id="Shape 23166" style="position:absolute;width:14371;height:121;left:28931;top:0;" coordsize="1437132,12193" path="m0,0l1437132,0l1437132,12193l0,12193l0,0">
                  <v:stroke weight="0pt" endcap="flat" joinstyle="miter" miterlimit="10" on="false" color="#000000" opacity="0"/>
                  <v:fill on="true" color="#000000"/>
                </v:shape>
                <v:shape id="Shape 23167" style="position:absolute;width:121;height:121;left:43211;top:0;" coordsize="12192,12193" path="m0,0l12192,0l12192,12193l0,12193l0,0">
                  <v:stroke weight="0pt" endcap="flat" joinstyle="miter" miterlimit="10" on="false" color="#000000" opacity="0"/>
                  <v:fill on="true" color="#000000"/>
                </v:shape>
                <v:shape id="Shape 23168" style="position:absolute;width:14373;height:121;left:43333;top:0;" coordsize="1437386,12193" path="m0,0l1437386,0l1437386,12193l0,12193l0,0">
                  <v:stroke weight="0pt" endcap="flat" joinstyle="miter" miterlimit="10" on="false" color="#000000" opacity="0"/>
                  <v:fill on="true" color="#000000"/>
                </v:shape>
                <v:shape id="Shape 23169" style="position:absolute;width:121;height:121;left:57616;top:0;" coordsize="12192,12193" path="m0,0l12192,0l12192,12193l0,12193l0,0">
                  <v:stroke weight="0pt" endcap="flat" joinstyle="miter" miterlimit="10" on="false" color="#000000" opacity="0"/>
                  <v:fill on="true" color="#000000"/>
                </v:shape>
                <v:shape id="Shape 23170" style="position:absolute;width:14373;height:121;left:57738;top:0;" coordsize="1437386,12193" path="m0,0l1437386,0l1437386,12193l0,12193l0,0">
                  <v:stroke weight="0pt" endcap="flat" joinstyle="miter" miterlimit="10" on="false" color="#000000" opacity="0"/>
                  <v:fill on="true" color="#000000"/>
                </v:shape>
                <v:shape id="Shape 23171" style="position:absolute;width:121;height:121;left:72021;top:0;" coordsize="12192,12193" path="m0,0l12192,0l12192,12193l0,12193l0,0">
                  <v:stroke weight="0pt" endcap="flat" joinstyle="miter" miterlimit="10" on="false" color="#000000" opacity="0"/>
                  <v:fill on="true" color="#000000"/>
                </v:shape>
                <v:shape id="Shape 23172" style="position:absolute;width:14371;height:121;left:72143;top:0;" coordsize="1437132,12193" path="m0,0l1437132,0l1437132,12193l0,12193l0,0">
                  <v:stroke weight="0pt" endcap="flat" joinstyle="miter" miterlimit="10" on="false" color="#000000" opacity="0"/>
                  <v:fill on="true" color="#000000"/>
                </v:shape>
                <w10:wrap type="topAndBottom"/>
              </v:group>
            </w:pict>
          </mc:Fallback>
        </mc:AlternateContent>
      </w:r>
      <w:r>
        <w:t xml:space="preserve">Institution </w:t>
      </w:r>
      <w:r>
        <w:tab/>
        <w:t xml:space="preserve">Aim 1 </w:t>
      </w:r>
      <w:r>
        <w:tab/>
        <w:t xml:space="preserve">Aim 2 </w:t>
      </w:r>
      <w:r>
        <w:tab/>
        <w:t xml:space="preserve">Aim 3 </w:t>
      </w:r>
      <w:r>
        <w:tab/>
        <w:t xml:space="preserve">Aim 4 </w:t>
      </w:r>
      <w:r>
        <w:tab/>
        <w:t xml:space="preserve">Aim 5 </w:t>
      </w:r>
    </w:p>
    <w:tbl>
      <w:tblPr>
        <w:tblStyle w:val="TableGrid"/>
        <w:tblW w:w="13610" w:type="dxa"/>
        <w:tblInd w:w="-108" w:type="dxa"/>
        <w:tblCellMar>
          <w:top w:w="11" w:type="dxa"/>
          <w:left w:w="0" w:type="dxa"/>
          <w:bottom w:w="0" w:type="dxa"/>
          <w:right w:w="115" w:type="dxa"/>
        </w:tblCellMar>
        <w:tblLook w:val="04A0" w:firstRow="1" w:lastRow="0" w:firstColumn="1" w:lastColumn="0" w:noHBand="0" w:noVBand="1"/>
      </w:tblPr>
      <w:tblGrid>
        <w:gridCol w:w="2376"/>
        <w:gridCol w:w="2269"/>
        <w:gridCol w:w="2268"/>
        <w:gridCol w:w="2268"/>
        <w:gridCol w:w="4429"/>
      </w:tblGrid>
      <w:tr w:rsidR="001C336F">
        <w:trPr>
          <w:trHeight w:val="1871"/>
        </w:trPr>
        <w:tc>
          <w:tcPr>
            <w:tcW w:w="2376" w:type="dxa"/>
            <w:tcBorders>
              <w:top w:val="single" w:sz="8" w:space="0" w:color="000000"/>
              <w:left w:val="nil"/>
              <w:bottom w:val="nil"/>
              <w:right w:val="nil"/>
            </w:tcBorders>
            <w:shd w:val="clear" w:color="auto" w:fill="C0C0C0"/>
          </w:tcPr>
          <w:p w:rsidR="001C336F" w:rsidRDefault="00C657BF">
            <w:pPr>
              <w:spacing w:after="31" w:line="239" w:lineRule="auto"/>
              <w:ind w:left="108" w:right="0" w:firstLine="0"/>
              <w:jc w:val="left"/>
            </w:pPr>
            <w:r>
              <w:rPr>
                <w:sz w:val="18"/>
              </w:rPr>
              <w:t xml:space="preserve">Cincinnati Children’s Hospital and Boston </w:t>
            </w:r>
          </w:p>
          <w:p w:rsidR="001C336F" w:rsidRDefault="00C657BF">
            <w:pPr>
              <w:spacing w:after="0" w:line="259" w:lineRule="auto"/>
              <w:ind w:left="108" w:right="0" w:firstLine="0"/>
              <w:jc w:val="left"/>
            </w:pPr>
            <w:r>
              <w:rPr>
                <w:sz w:val="18"/>
              </w:rPr>
              <w:t xml:space="preserve">Children’s Hospital </w:t>
            </w:r>
          </w:p>
        </w:tc>
        <w:tc>
          <w:tcPr>
            <w:tcW w:w="2269" w:type="dxa"/>
            <w:tcBorders>
              <w:top w:val="single" w:sz="8" w:space="0" w:color="000000"/>
              <w:left w:val="nil"/>
              <w:bottom w:val="nil"/>
              <w:right w:val="nil"/>
            </w:tcBorders>
            <w:shd w:val="clear" w:color="auto" w:fill="C0C0C0"/>
          </w:tcPr>
          <w:p w:rsidR="001C336F" w:rsidRDefault="00C657BF">
            <w:pPr>
              <w:spacing w:after="0" w:line="259" w:lineRule="auto"/>
              <w:ind w:left="0" w:right="0" w:firstLine="0"/>
              <w:jc w:val="left"/>
            </w:pPr>
            <w:r>
              <w:rPr>
                <w:sz w:val="18"/>
              </w:rPr>
              <w:t>Demonstrate real-</w:t>
            </w:r>
            <w:r>
              <w:rPr>
                <w:sz w:val="18"/>
              </w:rPr>
              <w:t xml:space="preserve">time execution of phenotypic selection across two distinct pediatric institutions with disparate EMR systems as a model for ensuring phenotypic standardization and for national scalability </w:t>
            </w:r>
          </w:p>
        </w:tc>
        <w:tc>
          <w:tcPr>
            <w:tcW w:w="2268" w:type="dxa"/>
            <w:tcBorders>
              <w:top w:val="single" w:sz="8" w:space="0" w:color="000000"/>
              <w:left w:val="nil"/>
              <w:bottom w:val="nil"/>
              <w:right w:val="nil"/>
            </w:tcBorders>
            <w:shd w:val="clear" w:color="auto" w:fill="C0C0C0"/>
          </w:tcPr>
          <w:p w:rsidR="001C336F" w:rsidRDefault="00C657BF">
            <w:pPr>
              <w:spacing w:after="0" w:line="239" w:lineRule="auto"/>
              <w:ind w:left="0" w:right="0" w:firstLine="0"/>
              <w:jc w:val="left"/>
            </w:pPr>
            <w:r>
              <w:rPr>
                <w:sz w:val="18"/>
              </w:rPr>
              <w:t xml:space="preserve">Contribute to phenotype selection and perform </w:t>
            </w:r>
          </w:p>
          <w:p w:rsidR="001C336F" w:rsidRDefault="00C657BF">
            <w:pPr>
              <w:spacing w:after="0" w:line="259" w:lineRule="auto"/>
              <w:ind w:left="0" w:right="0" w:firstLine="0"/>
              <w:jc w:val="left"/>
            </w:pPr>
            <w:r>
              <w:rPr>
                <w:sz w:val="18"/>
              </w:rPr>
              <w:t xml:space="preserve">GWAS and </w:t>
            </w:r>
            <w:proofErr w:type="spellStart"/>
            <w:r>
              <w:rPr>
                <w:sz w:val="18"/>
              </w:rPr>
              <w:t>PheWAS</w:t>
            </w:r>
            <w:proofErr w:type="spellEnd"/>
            <w:r>
              <w:rPr>
                <w:sz w:val="18"/>
              </w:rPr>
              <w:t xml:space="preserve"> </w:t>
            </w:r>
          </w:p>
        </w:tc>
        <w:tc>
          <w:tcPr>
            <w:tcW w:w="2268" w:type="dxa"/>
            <w:tcBorders>
              <w:top w:val="single" w:sz="8" w:space="0" w:color="000000"/>
              <w:left w:val="nil"/>
              <w:bottom w:val="nil"/>
              <w:right w:val="nil"/>
            </w:tcBorders>
            <w:shd w:val="clear" w:color="auto" w:fill="C0C0C0"/>
          </w:tcPr>
          <w:p w:rsidR="001C336F" w:rsidRDefault="00C657BF">
            <w:pPr>
              <w:spacing w:after="0" w:line="259" w:lineRule="auto"/>
              <w:ind w:left="0" w:right="0" w:firstLine="0"/>
              <w:jc w:val="left"/>
            </w:pPr>
            <w:r>
              <w:rPr>
                <w:sz w:val="18"/>
              </w:rPr>
              <w:t>Us</w:t>
            </w:r>
            <w:r>
              <w:rPr>
                <w:sz w:val="18"/>
              </w:rPr>
              <w:t xml:space="preserve">e return of </w:t>
            </w:r>
            <w:r>
              <w:rPr>
                <w:i/>
                <w:sz w:val="18"/>
              </w:rPr>
              <w:t>COMT</w:t>
            </w:r>
            <w:r>
              <w:rPr>
                <w:sz w:val="18"/>
              </w:rPr>
              <w:t xml:space="preserve"> and </w:t>
            </w:r>
          </w:p>
          <w:p w:rsidR="001C336F" w:rsidRDefault="00C657BF">
            <w:pPr>
              <w:spacing w:after="0" w:line="259" w:lineRule="auto"/>
              <w:ind w:left="0" w:right="59" w:firstLine="0"/>
              <w:jc w:val="left"/>
            </w:pPr>
            <w:r>
              <w:rPr>
                <w:i/>
                <w:sz w:val="18"/>
              </w:rPr>
              <w:t>CYP2D6</w:t>
            </w:r>
            <w:r>
              <w:rPr>
                <w:sz w:val="18"/>
              </w:rPr>
              <w:t xml:space="preserve"> research results to explore parents’ responses to and use of their children’s results and understand factors that influence their decisions about learning incidental findings </w:t>
            </w:r>
          </w:p>
        </w:tc>
        <w:tc>
          <w:tcPr>
            <w:tcW w:w="4429" w:type="dxa"/>
            <w:tcBorders>
              <w:top w:val="single" w:sz="8" w:space="0" w:color="000000"/>
              <w:left w:val="nil"/>
              <w:bottom w:val="nil"/>
              <w:right w:val="nil"/>
            </w:tcBorders>
            <w:shd w:val="clear" w:color="auto" w:fill="C0C0C0"/>
          </w:tcPr>
          <w:p w:rsidR="001C336F" w:rsidRDefault="00C657BF">
            <w:pPr>
              <w:tabs>
                <w:tab w:val="center" w:pos="2269"/>
              </w:tabs>
              <w:spacing w:after="0" w:line="259" w:lineRule="auto"/>
              <w:ind w:left="0" w:right="0" w:firstLine="0"/>
              <w:jc w:val="left"/>
            </w:pPr>
            <w:r>
              <w:rPr>
                <w:sz w:val="18"/>
              </w:rPr>
              <w:t xml:space="preserve">Explore clinicians’ </w:t>
            </w:r>
            <w:r>
              <w:rPr>
                <w:sz w:val="18"/>
              </w:rPr>
              <w:tab/>
              <w:t xml:space="preserve"> </w:t>
            </w:r>
          </w:p>
          <w:p w:rsidR="001C336F" w:rsidRDefault="00C657BF">
            <w:pPr>
              <w:spacing w:after="2" w:line="239" w:lineRule="auto"/>
              <w:ind w:left="0" w:right="2181" w:firstLine="0"/>
              <w:jc w:val="left"/>
            </w:pPr>
            <w:r>
              <w:rPr>
                <w:sz w:val="18"/>
              </w:rPr>
              <w:t xml:space="preserve">perceptions of pharmacogenetic research results after </w:t>
            </w:r>
          </w:p>
          <w:p w:rsidR="001C336F" w:rsidRDefault="00C657BF">
            <w:pPr>
              <w:spacing w:after="0" w:line="259" w:lineRule="auto"/>
              <w:ind w:left="0" w:right="0" w:firstLine="0"/>
              <w:jc w:val="left"/>
            </w:pPr>
            <w:r>
              <w:rPr>
                <w:sz w:val="18"/>
              </w:rPr>
              <w:t xml:space="preserve">EMR integration </w:t>
            </w:r>
          </w:p>
        </w:tc>
      </w:tr>
    </w:tbl>
    <w:p w:rsidR="001C336F" w:rsidRDefault="00C657BF">
      <w:pPr>
        <w:spacing w:after="0" w:line="259" w:lineRule="auto"/>
        <w:ind w:left="0" w:right="0" w:firstLine="0"/>
        <w:jc w:val="left"/>
      </w:pPr>
      <w:r>
        <w:rPr>
          <w:sz w:val="18"/>
        </w:rPr>
        <w:t xml:space="preserve">Children’s Hospital of </w:t>
      </w:r>
      <w:r>
        <w:rPr>
          <w:sz w:val="18"/>
        </w:rPr>
        <w:tab/>
        <w:t xml:space="preserve">Adapt </w:t>
      </w:r>
      <w:proofErr w:type="spellStart"/>
      <w:r>
        <w:rPr>
          <w:sz w:val="18"/>
        </w:rPr>
        <w:t>eMERGE</w:t>
      </w:r>
      <w:proofErr w:type="spellEnd"/>
      <w:r>
        <w:rPr>
          <w:sz w:val="18"/>
        </w:rPr>
        <w:t xml:space="preserve"> </w:t>
      </w:r>
      <w:r>
        <w:rPr>
          <w:sz w:val="18"/>
        </w:rPr>
        <w:tab/>
        <w:t xml:space="preserve">Define novel phenotypes </w:t>
      </w:r>
      <w:r>
        <w:rPr>
          <w:sz w:val="18"/>
        </w:rPr>
        <w:tab/>
        <w:t xml:space="preserve">Conduct GWAS with </w:t>
      </w:r>
      <w:r>
        <w:rPr>
          <w:sz w:val="18"/>
        </w:rPr>
        <w:tab/>
        <w:t xml:space="preserve">Develop consent and </w:t>
      </w:r>
      <w:r>
        <w:rPr>
          <w:sz w:val="18"/>
        </w:rPr>
        <w:tab/>
        <w:t xml:space="preserve">Begin incorporating Philadelphia </w:t>
      </w:r>
      <w:r>
        <w:rPr>
          <w:sz w:val="18"/>
        </w:rPr>
        <w:tab/>
        <w:t xml:space="preserve">phenotype algorithms </w:t>
      </w:r>
      <w:r>
        <w:rPr>
          <w:sz w:val="18"/>
        </w:rPr>
        <w:tab/>
        <w:t xml:space="preserve">with relevance to adult </w:t>
      </w:r>
      <w:r>
        <w:rPr>
          <w:sz w:val="18"/>
        </w:rPr>
        <w:tab/>
        <w:t xml:space="preserve">minimal risks to patient </w:t>
      </w:r>
      <w:r>
        <w:rPr>
          <w:sz w:val="18"/>
        </w:rPr>
        <w:tab/>
        <w:t xml:space="preserve">community consultation </w:t>
      </w:r>
      <w:r>
        <w:rPr>
          <w:sz w:val="18"/>
        </w:rPr>
        <w:tab/>
        <w:t xml:space="preserve">genomic research results relevant to pediatric </w:t>
      </w:r>
      <w:r>
        <w:rPr>
          <w:sz w:val="18"/>
        </w:rPr>
        <w:tab/>
        <w:t xml:space="preserve">and pediatric cohorts </w:t>
      </w:r>
      <w:r>
        <w:rPr>
          <w:sz w:val="18"/>
        </w:rPr>
        <w:tab/>
        <w:t xml:space="preserve">privacy from sharing of </w:t>
      </w:r>
      <w:r>
        <w:rPr>
          <w:sz w:val="18"/>
        </w:rPr>
        <w:tab/>
        <w:t xml:space="preserve">procedures for </w:t>
      </w:r>
      <w:r>
        <w:rPr>
          <w:sz w:val="18"/>
        </w:rPr>
        <w:tab/>
        <w:t xml:space="preserve">into clinical care cohorts with circulating </w:t>
      </w:r>
      <w:r>
        <w:rPr>
          <w:sz w:val="18"/>
        </w:rPr>
        <w:tab/>
        <w:t xml:space="preserve">(asthma, ADHD, atopic </w:t>
      </w:r>
      <w:r>
        <w:rPr>
          <w:sz w:val="18"/>
        </w:rPr>
        <w:tab/>
        <w:t xml:space="preserve">EMR data </w:t>
      </w:r>
      <w:r>
        <w:rPr>
          <w:sz w:val="18"/>
        </w:rPr>
        <w:tab/>
        <w:t>conducting rese</w:t>
      </w:r>
      <w:r>
        <w:rPr>
          <w:sz w:val="18"/>
        </w:rPr>
        <w:t xml:space="preserve">arch lipid levels as the primary </w:t>
      </w:r>
      <w:r>
        <w:rPr>
          <w:sz w:val="18"/>
        </w:rPr>
        <w:tab/>
        <w:t xml:space="preserve">dermatitis, and GERD) phenotype </w:t>
      </w:r>
    </w:p>
    <w:tbl>
      <w:tblPr>
        <w:tblStyle w:val="TableGrid"/>
        <w:tblW w:w="13610" w:type="dxa"/>
        <w:tblInd w:w="-108" w:type="dxa"/>
        <w:tblCellMar>
          <w:top w:w="5" w:type="dxa"/>
          <w:left w:w="0" w:type="dxa"/>
          <w:bottom w:w="0" w:type="dxa"/>
          <w:right w:w="115" w:type="dxa"/>
        </w:tblCellMar>
        <w:tblLook w:val="04A0" w:firstRow="1" w:lastRow="0" w:firstColumn="1" w:lastColumn="0" w:noHBand="0" w:noVBand="1"/>
      </w:tblPr>
      <w:tblGrid>
        <w:gridCol w:w="2268"/>
        <w:gridCol w:w="108"/>
        <w:gridCol w:w="2161"/>
        <w:gridCol w:w="108"/>
        <w:gridCol w:w="2160"/>
        <w:gridCol w:w="108"/>
        <w:gridCol w:w="2160"/>
        <w:gridCol w:w="2319"/>
        <w:gridCol w:w="2218"/>
      </w:tblGrid>
      <w:tr w:rsidR="001C336F">
        <w:trPr>
          <w:trHeight w:val="1244"/>
        </w:trPr>
        <w:tc>
          <w:tcPr>
            <w:tcW w:w="2376" w:type="dxa"/>
            <w:gridSpan w:val="2"/>
            <w:tcBorders>
              <w:top w:val="nil"/>
              <w:left w:val="nil"/>
              <w:bottom w:val="nil"/>
              <w:right w:val="nil"/>
            </w:tcBorders>
            <w:shd w:val="clear" w:color="auto" w:fill="C0C0C0"/>
          </w:tcPr>
          <w:p w:rsidR="001C336F" w:rsidRDefault="00C657BF">
            <w:pPr>
              <w:spacing w:after="0" w:line="259" w:lineRule="auto"/>
              <w:ind w:left="108" w:right="0" w:firstLine="0"/>
              <w:jc w:val="left"/>
            </w:pPr>
            <w:r>
              <w:rPr>
                <w:sz w:val="18"/>
              </w:rPr>
              <w:t xml:space="preserve">Geisinger Clinic </w:t>
            </w:r>
          </w:p>
        </w:tc>
        <w:tc>
          <w:tcPr>
            <w:tcW w:w="2269" w:type="dxa"/>
            <w:gridSpan w:val="2"/>
            <w:tcBorders>
              <w:top w:val="nil"/>
              <w:left w:val="nil"/>
              <w:bottom w:val="nil"/>
              <w:right w:val="nil"/>
            </w:tcBorders>
            <w:shd w:val="clear" w:color="auto" w:fill="C0C0C0"/>
          </w:tcPr>
          <w:p w:rsidR="001C336F" w:rsidRDefault="00C657BF">
            <w:pPr>
              <w:spacing w:after="0" w:line="259" w:lineRule="auto"/>
              <w:ind w:left="0" w:right="0" w:firstLine="0"/>
              <w:jc w:val="left"/>
            </w:pPr>
            <w:r>
              <w:rPr>
                <w:sz w:val="18"/>
              </w:rPr>
              <w:t xml:space="preserve">Identify genetic variants associated with AAA, extreme obesity, and related conditions </w:t>
            </w:r>
          </w:p>
        </w:tc>
        <w:tc>
          <w:tcPr>
            <w:tcW w:w="2268" w:type="dxa"/>
            <w:gridSpan w:val="2"/>
            <w:tcBorders>
              <w:top w:val="nil"/>
              <w:left w:val="nil"/>
              <w:bottom w:val="nil"/>
              <w:right w:val="nil"/>
            </w:tcBorders>
            <w:shd w:val="clear" w:color="auto" w:fill="C0C0C0"/>
          </w:tcPr>
          <w:p w:rsidR="001C336F" w:rsidRDefault="00C657BF">
            <w:pPr>
              <w:spacing w:after="0" w:line="259" w:lineRule="auto"/>
              <w:ind w:left="0" w:right="0" w:firstLine="0"/>
              <w:jc w:val="left"/>
            </w:pPr>
            <w:r>
              <w:rPr>
                <w:sz w:val="18"/>
              </w:rPr>
              <w:t xml:space="preserve">Incorporate genomic data </w:t>
            </w:r>
          </w:p>
          <w:p w:rsidR="001C336F" w:rsidRDefault="00C657BF">
            <w:pPr>
              <w:spacing w:after="0" w:line="259" w:lineRule="auto"/>
              <w:ind w:left="0" w:right="0" w:firstLine="0"/>
              <w:jc w:val="left"/>
            </w:pPr>
            <w:r>
              <w:rPr>
                <w:sz w:val="18"/>
              </w:rPr>
              <w:t xml:space="preserve">into clinical care, using </w:t>
            </w:r>
          </w:p>
          <w:p w:rsidR="001C336F" w:rsidRDefault="00C657BF">
            <w:pPr>
              <w:spacing w:after="0" w:line="259" w:lineRule="auto"/>
              <w:ind w:left="0" w:right="0" w:firstLine="0"/>
              <w:jc w:val="left"/>
            </w:pPr>
            <w:r>
              <w:rPr>
                <w:sz w:val="18"/>
              </w:rPr>
              <w:t xml:space="preserve">EMR-based CDS </w:t>
            </w:r>
          </w:p>
        </w:tc>
        <w:tc>
          <w:tcPr>
            <w:tcW w:w="6697" w:type="dxa"/>
            <w:gridSpan w:val="3"/>
            <w:tcBorders>
              <w:top w:val="nil"/>
              <w:left w:val="nil"/>
              <w:bottom w:val="nil"/>
              <w:right w:val="nil"/>
            </w:tcBorders>
            <w:shd w:val="clear" w:color="auto" w:fill="C0C0C0"/>
          </w:tcPr>
          <w:p w:rsidR="001C336F" w:rsidRDefault="00C657BF">
            <w:pPr>
              <w:spacing w:after="0" w:line="259" w:lineRule="auto"/>
              <w:ind w:left="0" w:right="4389" w:firstLine="0"/>
              <w:jc w:val="left"/>
            </w:pPr>
            <w:r>
              <w:rPr>
                <w:sz w:val="18"/>
              </w:rPr>
              <w:t xml:space="preserve">Identify sociocultural </w:t>
            </w:r>
            <w:r>
              <w:rPr>
                <w:sz w:val="18"/>
              </w:rPr>
              <w:tab/>
              <w:t xml:space="preserve"> </w:t>
            </w:r>
            <w:r>
              <w:rPr>
                <w:sz w:val="18"/>
              </w:rPr>
              <w:tab/>
              <w:t xml:space="preserve"> concerns of patients in rural areas regarding return of genetic findings.</w:t>
            </w:r>
            <w:r>
              <w:rPr>
                <w:sz w:val="18"/>
              </w:rPr>
              <w:t xml:space="preserve"> Provide patient and physician education </w:t>
            </w:r>
          </w:p>
        </w:tc>
      </w:tr>
      <w:tr w:rsidR="001C336F">
        <w:tblPrEx>
          <w:tblCellMar>
            <w:top w:w="0" w:type="dxa"/>
            <w:right w:w="0" w:type="dxa"/>
          </w:tblCellMar>
        </w:tblPrEx>
        <w:trPr>
          <w:gridAfter w:val="1"/>
          <w:wAfter w:w="2218" w:type="dxa"/>
          <w:trHeight w:val="1650"/>
        </w:trPr>
        <w:tc>
          <w:tcPr>
            <w:tcW w:w="2268" w:type="dxa"/>
            <w:tcBorders>
              <w:top w:val="nil"/>
              <w:left w:val="nil"/>
              <w:bottom w:val="nil"/>
              <w:right w:val="nil"/>
            </w:tcBorders>
          </w:tcPr>
          <w:p w:rsidR="001C336F" w:rsidRDefault="00C657BF">
            <w:pPr>
              <w:spacing w:after="0" w:line="259" w:lineRule="auto"/>
              <w:ind w:left="0" w:right="0" w:firstLine="0"/>
              <w:jc w:val="left"/>
            </w:pPr>
            <w:r>
              <w:rPr>
                <w:sz w:val="18"/>
              </w:rPr>
              <w:t xml:space="preserve">Group Health </w:t>
            </w:r>
          </w:p>
        </w:tc>
        <w:tc>
          <w:tcPr>
            <w:tcW w:w="2269" w:type="dxa"/>
            <w:gridSpan w:val="2"/>
            <w:tcBorders>
              <w:top w:val="nil"/>
              <w:left w:val="nil"/>
              <w:bottom w:val="nil"/>
              <w:right w:val="nil"/>
            </w:tcBorders>
          </w:tcPr>
          <w:p w:rsidR="001C336F" w:rsidRDefault="00C657BF">
            <w:pPr>
              <w:spacing w:after="2" w:line="240" w:lineRule="auto"/>
              <w:ind w:left="0" w:right="136" w:firstLine="0"/>
              <w:jc w:val="left"/>
            </w:pPr>
            <w:r>
              <w:rPr>
                <w:sz w:val="18"/>
              </w:rPr>
              <w:t>Study infectious disease susceptibility (</w:t>
            </w:r>
            <w:proofErr w:type="spellStart"/>
            <w:r>
              <w:rPr>
                <w:sz w:val="18"/>
              </w:rPr>
              <w:t>BuGWAS</w:t>
            </w:r>
            <w:proofErr w:type="spellEnd"/>
            <w:r>
              <w:rPr>
                <w:sz w:val="18"/>
              </w:rPr>
              <w:t xml:space="preserve">), specifically susceptibility to </w:t>
            </w:r>
            <w:r>
              <w:rPr>
                <w:i/>
                <w:sz w:val="18"/>
              </w:rPr>
              <w:t>Clostridium difficile</w:t>
            </w:r>
            <w:r>
              <w:rPr>
                <w:sz w:val="18"/>
              </w:rPr>
              <w:t xml:space="preserve">, </w:t>
            </w:r>
            <w:r>
              <w:rPr>
                <w:sz w:val="18"/>
              </w:rPr>
              <w:t xml:space="preserve">reactivation of the varicella zoster virus, and fungal nail infection </w:t>
            </w:r>
          </w:p>
          <w:p w:rsidR="001C336F" w:rsidRDefault="00C657BF">
            <w:pPr>
              <w:spacing w:after="0" w:line="259" w:lineRule="auto"/>
              <w:ind w:left="0" w:right="0" w:firstLine="0"/>
              <w:jc w:val="left"/>
            </w:pPr>
            <w:r>
              <w:rPr>
                <w:sz w:val="18"/>
              </w:rPr>
              <w:t xml:space="preserve">(onychomycosis) </w:t>
            </w:r>
          </w:p>
        </w:tc>
        <w:tc>
          <w:tcPr>
            <w:tcW w:w="2268" w:type="dxa"/>
            <w:gridSpan w:val="2"/>
            <w:tcBorders>
              <w:top w:val="nil"/>
              <w:left w:val="nil"/>
              <w:bottom w:val="nil"/>
              <w:right w:val="nil"/>
            </w:tcBorders>
          </w:tcPr>
          <w:p w:rsidR="001C336F" w:rsidRDefault="00C657BF">
            <w:pPr>
              <w:spacing w:after="2" w:line="239" w:lineRule="auto"/>
              <w:ind w:left="0" w:right="124" w:firstLine="0"/>
              <w:jc w:val="left"/>
            </w:pPr>
            <w:r>
              <w:rPr>
                <w:sz w:val="18"/>
              </w:rPr>
              <w:t xml:space="preserve">Investigate the relationship of chromosomal </w:t>
            </w:r>
          </w:p>
          <w:p w:rsidR="001C336F" w:rsidRDefault="00C657BF">
            <w:pPr>
              <w:spacing w:after="0" w:line="259" w:lineRule="auto"/>
              <w:ind w:left="0" w:right="0" w:firstLine="0"/>
              <w:jc w:val="left"/>
            </w:pPr>
            <w:r>
              <w:rPr>
                <w:sz w:val="18"/>
              </w:rPr>
              <w:t>abnormalities (</w:t>
            </w:r>
            <w:proofErr w:type="spellStart"/>
            <w:r>
              <w:rPr>
                <w:sz w:val="18"/>
              </w:rPr>
              <w:t>ChroWAS</w:t>
            </w:r>
            <w:proofErr w:type="spellEnd"/>
            <w:r>
              <w:rPr>
                <w:sz w:val="18"/>
              </w:rPr>
              <w:t xml:space="preserve">) identified by GWAS with bone marrow disorders </w:t>
            </w:r>
          </w:p>
        </w:tc>
        <w:tc>
          <w:tcPr>
            <w:tcW w:w="2268" w:type="dxa"/>
            <w:gridSpan w:val="2"/>
            <w:tcBorders>
              <w:top w:val="nil"/>
              <w:left w:val="nil"/>
              <w:bottom w:val="nil"/>
              <w:right w:val="nil"/>
            </w:tcBorders>
          </w:tcPr>
          <w:p w:rsidR="001C336F" w:rsidRDefault="00C657BF">
            <w:pPr>
              <w:spacing w:after="2" w:line="239" w:lineRule="auto"/>
              <w:ind w:left="0" w:right="0" w:firstLine="0"/>
              <w:jc w:val="left"/>
            </w:pPr>
            <w:r>
              <w:rPr>
                <w:sz w:val="18"/>
              </w:rPr>
              <w:t>Assess challenges of integrating genomic data into c</w:t>
            </w:r>
            <w:r>
              <w:rPr>
                <w:sz w:val="18"/>
              </w:rPr>
              <w:t xml:space="preserve">linical care: </w:t>
            </w:r>
          </w:p>
          <w:p w:rsidR="001C336F" w:rsidRDefault="00C657BF">
            <w:pPr>
              <w:spacing w:after="0" w:line="259" w:lineRule="auto"/>
              <w:ind w:left="0" w:right="205" w:firstLine="0"/>
              <w:jc w:val="left"/>
            </w:pPr>
            <w:r>
              <w:rPr>
                <w:sz w:val="18"/>
              </w:rPr>
              <w:t xml:space="preserve">interview medical system leaders, focus groups with physicians and patients, and develop and test prototype </w:t>
            </w:r>
          </w:p>
        </w:tc>
        <w:tc>
          <w:tcPr>
            <w:tcW w:w="2319" w:type="dxa"/>
            <w:tcBorders>
              <w:top w:val="nil"/>
              <w:left w:val="nil"/>
              <w:bottom w:val="nil"/>
              <w:right w:val="nil"/>
            </w:tcBorders>
          </w:tcPr>
          <w:p w:rsidR="001C336F" w:rsidRDefault="00C657BF">
            <w:pPr>
              <w:spacing w:after="0" w:line="243" w:lineRule="auto"/>
              <w:ind w:left="0" w:right="0" w:firstLine="0"/>
              <w:jc w:val="left"/>
            </w:pPr>
            <w:r>
              <w:rPr>
                <w:sz w:val="18"/>
              </w:rPr>
              <w:t xml:space="preserve">Collaborate within and </w:t>
            </w:r>
            <w:r>
              <w:rPr>
                <w:sz w:val="18"/>
              </w:rPr>
              <w:tab/>
              <w:t xml:space="preserve"> </w:t>
            </w:r>
            <w:r>
              <w:rPr>
                <w:sz w:val="18"/>
              </w:rPr>
              <w:t xml:space="preserve">extend </w:t>
            </w:r>
            <w:proofErr w:type="spellStart"/>
            <w:r>
              <w:rPr>
                <w:sz w:val="18"/>
              </w:rPr>
              <w:t>eMERGE</w:t>
            </w:r>
            <w:proofErr w:type="spellEnd"/>
            <w:r>
              <w:rPr>
                <w:sz w:val="18"/>
              </w:rPr>
              <w:t xml:space="preserve"> through exchange of knowledge, technology, and best </w:t>
            </w:r>
          </w:p>
          <w:p w:rsidR="001C336F" w:rsidRDefault="00C657BF">
            <w:pPr>
              <w:spacing w:after="0" w:line="259" w:lineRule="auto"/>
              <w:ind w:left="0" w:right="0" w:firstLine="0"/>
              <w:jc w:val="left"/>
            </w:pPr>
            <w:r>
              <w:rPr>
                <w:sz w:val="18"/>
              </w:rPr>
              <w:t xml:space="preserve">practices for generating </w:t>
            </w:r>
          </w:p>
          <w:p w:rsidR="001C336F" w:rsidRDefault="00C657BF">
            <w:pPr>
              <w:spacing w:after="0" w:line="259" w:lineRule="auto"/>
              <w:ind w:left="0" w:right="0" w:firstLine="0"/>
              <w:jc w:val="left"/>
            </w:pPr>
            <w:r>
              <w:rPr>
                <w:sz w:val="18"/>
              </w:rPr>
              <w:t xml:space="preserve">EMR-based GWAS and </w:t>
            </w:r>
          </w:p>
          <w:p w:rsidR="001C336F" w:rsidRDefault="00C657BF">
            <w:pPr>
              <w:spacing w:after="0" w:line="259" w:lineRule="auto"/>
              <w:ind w:left="0" w:right="117" w:firstLine="0"/>
              <w:jc w:val="left"/>
            </w:pPr>
            <w:r>
              <w:rPr>
                <w:sz w:val="18"/>
              </w:rPr>
              <w:t xml:space="preserve">integrating with clinical care </w:t>
            </w:r>
          </w:p>
        </w:tc>
      </w:tr>
      <w:tr w:rsidR="001C336F">
        <w:trPr>
          <w:trHeight w:val="1035"/>
        </w:trPr>
        <w:tc>
          <w:tcPr>
            <w:tcW w:w="2376" w:type="dxa"/>
            <w:gridSpan w:val="2"/>
            <w:tcBorders>
              <w:top w:val="nil"/>
              <w:left w:val="nil"/>
              <w:bottom w:val="nil"/>
              <w:right w:val="nil"/>
            </w:tcBorders>
            <w:shd w:val="clear" w:color="auto" w:fill="C0C0C0"/>
          </w:tcPr>
          <w:p w:rsidR="001C336F" w:rsidRDefault="00C657BF">
            <w:pPr>
              <w:spacing w:after="0" w:line="259" w:lineRule="auto"/>
              <w:ind w:left="108" w:right="0" w:firstLine="0"/>
              <w:jc w:val="left"/>
            </w:pPr>
            <w:r>
              <w:rPr>
                <w:sz w:val="18"/>
              </w:rPr>
              <w:t xml:space="preserve">Marshfield Clinic </w:t>
            </w:r>
          </w:p>
          <w:p w:rsidR="001C336F" w:rsidRDefault="00C657BF">
            <w:pPr>
              <w:spacing w:after="0" w:line="259" w:lineRule="auto"/>
              <w:ind w:left="108" w:right="0" w:firstLine="0"/>
              <w:jc w:val="left"/>
            </w:pPr>
            <w:r>
              <w:rPr>
                <w:sz w:val="18"/>
              </w:rPr>
              <w:t xml:space="preserve">Research Foundation </w:t>
            </w:r>
          </w:p>
        </w:tc>
        <w:tc>
          <w:tcPr>
            <w:tcW w:w="2269" w:type="dxa"/>
            <w:gridSpan w:val="2"/>
            <w:tcBorders>
              <w:top w:val="nil"/>
              <w:left w:val="nil"/>
              <w:bottom w:val="nil"/>
              <w:right w:val="nil"/>
            </w:tcBorders>
            <w:shd w:val="clear" w:color="auto" w:fill="C0C0C0"/>
          </w:tcPr>
          <w:p w:rsidR="001C336F" w:rsidRDefault="00C657BF">
            <w:pPr>
              <w:spacing w:after="0" w:line="259" w:lineRule="auto"/>
              <w:ind w:left="0" w:right="19" w:firstLine="0"/>
              <w:jc w:val="left"/>
            </w:pPr>
            <w:r>
              <w:rPr>
                <w:sz w:val="18"/>
              </w:rPr>
              <w:t xml:space="preserve">Develop and validate electronic algorithms and efficacy of medical therapy for ophthalmic conditions </w:t>
            </w:r>
          </w:p>
        </w:tc>
        <w:tc>
          <w:tcPr>
            <w:tcW w:w="2268" w:type="dxa"/>
            <w:gridSpan w:val="2"/>
            <w:tcBorders>
              <w:top w:val="nil"/>
              <w:left w:val="nil"/>
              <w:bottom w:val="nil"/>
              <w:right w:val="nil"/>
            </w:tcBorders>
            <w:shd w:val="clear" w:color="auto" w:fill="C0C0C0"/>
          </w:tcPr>
          <w:p w:rsidR="001C336F" w:rsidRDefault="00C657BF">
            <w:pPr>
              <w:spacing w:after="0" w:line="259" w:lineRule="auto"/>
              <w:ind w:left="0" w:right="71" w:firstLine="0"/>
              <w:jc w:val="left"/>
            </w:pPr>
            <w:r>
              <w:rPr>
                <w:sz w:val="18"/>
              </w:rPr>
              <w:t xml:space="preserve">Undertake genetic discoveries for ophthalmic conditions and pharmacogenetics </w:t>
            </w:r>
          </w:p>
        </w:tc>
        <w:tc>
          <w:tcPr>
            <w:tcW w:w="6697" w:type="dxa"/>
            <w:gridSpan w:val="3"/>
            <w:tcBorders>
              <w:top w:val="nil"/>
              <w:left w:val="nil"/>
              <w:bottom w:val="nil"/>
              <w:right w:val="nil"/>
            </w:tcBorders>
            <w:shd w:val="clear" w:color="auto" w:fill="C0C0C0"/>
          </w:tcPr>
          <w:p w:rsidR="001C336F" w:rsidRDefault="00C657BF">
            <w:pPr>
              <w:spacing w:after="0" w:line="259" w:lineRule="auto"/>
              <w:ind w:left="0" w:right="4160" w:firstLine="0"/>
              <w:jc w:val="left"/>
            </w:pPr>
            <w:proofErr w:type="spellStart"/>
            <w:r>
              <w:rPr>
                <w:sz w:val="18"/>
              </w:rPr>
              <w:t>Consultat</w:t>
            </w:r>
            <w:proofErr w:type="spellEnd"/>
            <w:r>
              <w:rPr>
                <w:sz w:val="18"/>
              </w:rPr>
              <w:t xml:space="preserve"> with the </w:t>
            </w:r>
            <w:r>
              <w:rPr>
                <w:sz w:val="18"/>
              </w:rPr>
              <w:tab/>
              <w:t xml:space="preserve"> </w:t>
            </w:r>
            <w:r>
              <w:rPr>
                <w:sz w:val="18"/>
              </w:rPr>
              <w:tab/>
              <w:t xml:space="preserve"> general community and clinicians related to the incor</w:t>
            </w:r>
            <w:r>
              <w:rPr>
                <w:sz w:val="18"/>
              </w:rPr>
              <w:t xml:space="preserve">poration of GWAS results into EMR </w:t>
            </w:r>
          </w:p>
        </w:tc>
      </w:tr>
      <w:tr w:rsidR="001C336F">
        <w:tblPrEx>
          <w:tblCellMar>
            <w:top w:w="0" w:type="dxa"/>
            <w:right w:w="0" w:type="dxa"/>
          </w:tblCellMar>
        </w:tblPrEx>
        <w:trPr>
          <w:gridAfter w:val="1"/>
          <w:wAfter w:w="2218" w:type="dxa"/>
          <w:trHeight w:val="1441"/>
        </w:trPr>
        <w:tc>
          <w:tcPr>
            <w:tcW w:w="2268" w:type="dxa"/>
            <w:tcBorders>
              <w:top w:val="nil"/>
              <w:left w:val="nil"/>
              <w:bottom w:val="nil"/>
              <w:right w:val="nil"/>
            </w:tcBorders>
          </w:tcPr>
          <w:p w:rsidR="001C336F" w:rsidRDefault="00C657BF">
            <w:pPr>
              <w:spacing w:after="0" w:line="259" w:lineRule="auto"/>
              <w:ind w:left="0" w:right="0" w:firstLine="0"/>
              <w:jc w:val="left"/>
            </w:pPr>
            <w:r>
              <w:rPr>
                <w:sz w:val="18"/>
              </w:rPr>
              <w:lastRenderedPageBreak/>
              <w:t xml:space="preserve">Mayo Clinic </w:t>
            </w:r>
          </w:p>
        </w:tc>
        <w:tc>
          <w:tcPr>
            <w:tcW w:w="2269" w:type="dxa"/>
            <w:gridSpan w:val="2"/>
            <w:tcBorders>
              <w:top w:val="nil"/>
              <w:left w:val="nil"/>
              <w:bottom w:val="nil"/>
              <w:right w:val="nil"/>
            </w:tcBorders>
          </w:tcPr>
          <w:p w:rsidR="001C336F" w:rsidRDefault="00C657BF">
            <w:pPr>
              <w:spacing w:after="0" w:line="259" w:lineRule="auto"/>
              <w:ind w:left="0" w:right="115" w:firstLine="0"/>
              <w:jc w:val="left"/>
            </w:pPr>
            <w:r>
              <w:rPr>
                <w:sz w:val="18"/>
              </w:rPr>
              <w:t xml:space="preserve">Identify genetic variants for inter-individual variation in cardiorespiratory fitness, and susceptibility to VTE and CHF using validated and transportable </w:t>
            </w:r>
          </w:p>
        </w:tc>
        <w:tc>
          <w:tcPr>
            <w:tcW w:w="2268" w:type="dxa"/>
            <w:gridSpan w:val="2"/>
            <w:tcBorders>
              <w:top w:val="nil"/>
              <w:left w:val="nil"/>
              <w:bottom w:val="nil"/>
              <w:right w:val="nil"/>
            </w:tcBorders>
          </w:tcPr>
          <w:p w:rsidR="001C336F" w:rsidRDefault="00C657BF">
            <w:pPr>
              <w:spacing w:after="0" w:line="259" w:lineRule="auto"/>
              <w:ind w:left="0" w:right="165" w:firstLine="0"/>
              <w:jc w:val="left"/>
            </w:pPr>
            <w:r>
              <w:rPr>
                <w:sz w:val="18"/>
              </w:rPr>
              <w:t xml:space="preserve">Quantify genetic risk of CHD and statin myopathy. Develop risk communication tools with clinical and genetic components to both patients and care </w:t>
            </w:r>
          </w:p>
        </w:tc>
        <w:tc>
          <w:tcPr>
            <w:tcW w:w="2268" w:type="dxa"/>
            <w:gridSpan w:val="2"/>
            <w:tcBorders>
              <w:top w:val="nil"/>
              <w:left w:val="nil"/>
              <w:bottom w:val="nil"/>
              <w:right w:val="nil"/>
            </w:tcBorders>
          </w:tcPr>
          <w:p w:rsidR="001C336F" w:rsidRDefault="00C657BF">
            <w:pPr>
              <w:spacing w:after="0" w:line="259" w:lineRule="auto"/>
              <w:ind w:left="0" w:right="177" w:firstLine="0"/>
              <w:jc w:val="left"/>
            </w:pPr>
            <w:r>
              <w:rPr>
                <w:sz w:val="18"/>
              </w:rPr>
              <w:t xml:space="preserve">Develop informatics approaches to incorporate genomic information and relevant clinical decision support tools into the EMR </w:t>
            </w:r>
          </w:p>
        </w:tc>
        <w:tc>
          <w:tcPr>
            <w:tcW w:w="2319" w:type="dxa"/>
            <w:tcBorders>
              <w:top w:val="nil"/>
              <w:left w:val="nil"/>
              <w:bottom w:val="nil"/>
              <w:right w:val="nil"/>
            </w:tcBorders>
          </w:tcPr>
          <w:p w:rsidR="001C336F" w:rsidRDefault="00C657BF">
            <w:pPr>
              <w:tabs>
                <w:tab w:val="center" w:pos="2269"/>
              </w:tabs>
              <w:spacing w:after="0" w:line="259" w:lineRule="auto"/>
              <w:ind w:left="0" w:right="0" w:firstLine="0"/>
              <w:jc w:val="left"/>
            </w:pPr>
            <w:r>
              <w:rPr>
                <w:sz w:val="18"/>
              </w:rPr>
              <w:t>Conduct a randomized-</w:t>
            </w:r>
            <w:r>
              <w:rPr>
                <w:sz w:val="18"/>
              </w:rPr>
              <w:tab/>
              <w:t xml:space="preserve"> </w:t>
            </w:r>
          </w:p>
          <w:p w:rsidR="001C336F" w:rsidRDefault="00C657BF">
            <w:pPr>
              <w:spacing w:after="2" w:line="239" w:lineRule="auto"/>
              <w:ind w:left="0" w:right="0" w:firstLine="0"/>
              <w:jc w:val="left"/>
            </w:pPr>
            <w:r>
              <w:rPr>
                <w:sz w:val="18"/>
              </w:rPr>
              <w:t xml:space="preserve">clinical trial to investigate how patients respond to </w:t>
            </w:r>
          </w:p>
          <w:p w:rsidR="001C336F" w:rsidRDefault="00C657BF">
            <w:pPr>
              <w:spacing w:after="0" w:line="259" w:lineRule="auto"/>
              <w:ind w:left="0" w:right="0" w:firstLine="0"/>
              <w:jc w:val="left"/>
            </w:pPr>
            <w:r>
              <w:rPr>
                <w:sz w:val="18"/>
              </w:rPr>
              <w:t xml:space="preserve">genotype-informed CHD </w:t>
            </w:r>
          </w:p>
          <w:p w:rsidR="001C336F" w:rsidRDefault="00C657BF">
            <w:pPr>
              <w:spacing w:after="0" w:line="259" w:lineRule="auto"/>
              <w:ind w:left="0" w:right="0" w:firstLine="0"/>
              <w:jc w:val="left"/>
            </w:pPr>
            <w:r>
              <w:rPr>
                <w:sz w:val="18"/>
              </w:rPr>
              <w:t xml:space="preserve">risk </w:t>
            </w:r>
          </w:p>
        </w:tc>
      </w:tr>
    </w:tbl>
    <w:p w:rsidR="001C336F" w:rsidRDefault="00C657BF">
      <w:pPr>
        <w:spacing w:line="259" w:lineRule="auto"/>
        <w:ind w:left="-108" w:right="-150" w:firstLine="0"/>
        <w:jc w:val="left"/>
      </w:pPr>
      <w:r>
        <w:rPr>
          <w:rFonts w:ascii="Calibri" w:eastAsia="Calibri" w:hAnsi="Calibri" w:cs="Calibri"/>
          <w:noProof/>
          <w:sz w:val="22"/>
        </w:rPr>
        <mc:AlternateContent>
          <mc:Choice Requires="wpg">
            <w:drawing>
              <wp:inline distT="0" distB="0" distL="0" distR="0">
                <wp:extent cx="8642350" cy="12192"/>
                <wp:effectExtent l="0" t="0" r="0" b="0"/>
                <wp:docPr id="19798" name="Group 19798"/>
                <wp:cNvGraphicFramePr/>
                <a:graphic xmlns:a="http://schemas.openxmlformats.org/drawingml/2006/main">
                  <a:graphicData uri="http://schemas.microsoft.com/office/word/2010/wordprocessingGroup">
                    <wpg:wgp>
                      <wpg:cNvGrpSpPr/>
                      <wpg:grpSpPr>
                        <a:xfrm>
                          <a:off x="0" y="0"/>
                          <a:ext cx="8642350" cy="12192"/>
                          <a:chOff x="0" y="0"/>
                          <a:chExt cx="8642350" cy="12192"/>
                        </a:xfrm>
                      </wpg:grpSpPr>
                      <wps:wsp>
                        <wps:cNvPr id="23173" name="Shape 23173"/>
                        <wps:cNvSpPr/>
                        <wps:spPr>
                          <a:xfrm>
                            <a:off x="0" y="0"/>
                            <a:ext cx="1440434" cy="12192"/>
                          </a:xfrm>
                          <a:custGeom>
                            <a:avLst/>
                            <a:gdLst/>
                            <a:ahLst/>
                            <a:cxnLst/>
                            <a:rect l="0" t="0" r="0" b="0"/>
                            <a:pathLst>
                              <a:path w="1440434" h="12192">
                                <a:moveTo>
                                  <a:pt x="0" y="0"/>
                                </a:moveTo>
                                <a:lnTo>
                                  <a:pt x="1440434" y="0"/>
                                </a:lnTo>
                                <a:lnTo>
                                  <a:pt x="144043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74" name="Shape 23174"/>
                        <wps:cNvSpPr/>
                        <wps:spPr>
                          <a:xfrm>
                            <a:off x="144043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75" name="Shape 23175"/>
                        <wps:cNvSpPr/>
                        <wps:spPr>
                          <a:xfrm>
                            <a:off x="1452626" y="0"/>
                            <a:ext cx="1428242" cy="12192"/>
                          </a:xfrm>
                          <a:custGeom>
                            <a:avLst/>
                            <a:gdLst/>
                            <a:ahLst/>
                            <a:cxnLst/>
                            <a:rect l="0" t="0" r="0" b="0"/>
                            <a:pathLst>
                              <a:path w="1428242" h="12192">
                                <a:moveTo>
                                  <a:pt x="0" y="0"/>
                                </a:moveTo>
                                <a:lnTo>
                                  <a:pt x="1428242" y="0"/>
                                </a:lnTo>
                                <a:lnTo>
                                  <a:pt x="142824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76" name="Shape 23176"/>
                        <wps:cNvSpPr/>
                        <wps:spPr>
                          <a:xfrm>
                            <a:off x="2880995"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77" name="Shape 23177"/>
                        <wps:cNvSpPr/>
                        <wps:spPr>
                          <a:xfrm>
                            <a:off x="2893187" y="0"/>
                            <a:ext cx="1427988" cy="12192"/>
                          </a:xfrm>
                          <a:custGeom>
                            <a:avLst/>
                            <a:gdLst/>
                            <a:ahLst/>
                            <a:cxnLst/>
                            <a:rect l="0" t="0" r="0" b="0"/>
                            <a:pathLst>
                              <a:path w="1427988" h="12192">
                                <a:moveTo>
                                  <a:pt x="0" y="0"/>
                                </a:moveTo>
                                <a:lnTo>
                                  <a:pt x="1427988" y="0"/>
                                </a:lnTo>
                                <a:lnTo>
                                  <a:pt x="14279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78" name="Shape 23178"/>
                        <wps:cNvSpPr/>
                        <wps:spPr>
                          <a:xfrm>
                            <a:off x="4321175"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79" name="Shape 23179"/>
                        <wps:cNvSpPr/>
                        <wps:spPr>
                          <a:xfrm>
                            <a:off x="4333367" y="0"/>
                            <a:ext cx="1428242" cy="12192"/>
                          </a:xfrm>
                          <a:custGeom>
                            <a:avLst/>
                            <a:gdLst/>
                            <a:ahLst/>
                            <a:cxnLst/>
                            <a:rect l="0" t="0" r="0" b="0"/>
                            <a:pathLst>
                              <a:path w="1428242" h="12192">
                                <a:moveTo>
                                  <a:pt x="0" y="0"/>
                                </a:moveTo>
                                <a:lnTo>
                                  <a:pt x="1428242" y="0"/>
                                </a:lnTo>
                                <a:lnTo>
                                  <a:pt x="142824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80" name="Shape 23180"/>
                        <wps:cNvSpPr/>
                        <wps:spPr>
                          <a:xfrm>
                            <a:off x="5761609"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81" name="Shape 23181"/>
                        <wps:cNvSpPr/>
                        <wps:spPr>
                          <a:xfrm>
                            <a:off x="5773801" y="0"/>
                            <a:ext cx="1428242" cy="12192"/>
                          </a:xfrm>
                          <a:custGeom>
                            <a:avLst/>
                            <a:gdLst/>
                            <a:ahLst/>
                            <a:cxnLst/>
                            <a:rect l="0" t="0" r="0" b="0"/>
                            <a:pathLst>
                              <a:path w="1428242" h="12192">
                                <a:moveTo>
                                  <a:pt x="0" y="0"/>
                                </a:moveTo>
                                <a:lnTo>
                                  <a:pt x="1428242" y="0"/>
                                </a:lnTo>
                                <a:lnTo>
                                  <a:pt x="142824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82" name="Shape 23182"/>
                        <wps:cNvSpPr/>
                        <wps:spPr>
                          <a:xfrm>
                            <a:off x="7202171"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83" name="Shape 23183"/>
                        <wps:cNvSpPr/>
                        <wps:spPr>
                          <a:xfrm>
                            <a:off x="7214362" y="0"/>
                            <a:ext cx="1427988" cy="12192"/>
                          </a:xfrm>
                          <a:custGeom>
                            <a:avLst/>
                            <a:gdLst/>
                            <a:ahLst/>
                            <a:cxnLst/>
                            <a:rect l="0" t="0" r="0" b="0"/>
                            <a:pathLst>
                              <a:path w="1427988" h="12192">
                                <a:moveTo>
                                  <a:pt x="0" y="0"/>
                                </a:moveTo>
                                <a:lnTo>
                                  <a:pt x="1427988" y="0"/>
                                </a:lnTo>
                                <a:lnTo>
                                  <a:pt x="14279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98" style="width:680.5pt;height:0.960022pt;mso-position-horizontal-relative:char;mso-position-vertical-relative:line" coordsize="86423,121">
                <v:shape id="Shape 23184" style="position:absolute;width:14404;height:121;left:0;top:0;" coordsize="1440434,12192" path="m0,0l1440434,0l1440434,12192l0,12192l0,0">
                  <v:stroke weight="0pt" endcap="flat" joinstyle="miter" miterlimit="10" on="false" color="#000000" opacity="0"/>
                  <v:fill on="true" color="#000000"/>
                </v:shape>
                <v:shape id="Shape 23185" style="position:absolute;width:121;height:121;left:14404;top:0;" coordsize="12192,12192" path="m0,0l12192,0l12192,12192l0,12192l0,0">
                  <v:stroke weight="0pt" endcap="flat" joinstyle="miter" miterlimit="10" on="false" color="#000000" opacity="0"/>
                  <v:fill on="true" color="#000000"/>
                </v:shape>
                <v:shape id="Shape 23186" style="position:absolute;width:14282;height:121;left:14526;top:0;" coordsize="1428242,12192" path="m0,0l1428242,0l1428242,12192l0,12192l0,0">
                  <v:stroke weight="0pt" endcap="flat" joinstyle="miter" miterlimit="10" on="false" color="#000000" opacity="0"/>
                  <v:fill on="true" color="#000000"/>
                </v:shape>
                <v:shape id="Shape 23187" style="position:absolute;width:121;height:121;left:28809;top:0;" coordsize="12192,12192" path="m0,0l12192,0l12192,12192l0,12192l0,0">
                  <v:stroke weight="0pt" endcap="flat" joinstyle="miter" miterlimit="10" on="false" color="#000000" opacity="0"/>
                  <v:fill on="true" color="#000000"/>
                </v:shape>
                <v:shape id="Shape 23188" style="position:absolute;width:14279;height:121;left:28931;top:0;" coordsize="1427988,12192" path="m0,0l1427988,0l1427988,12192l0,12192l0,0">
                  <v:stroke weight="0pt" endcap="flat" joinstyle="miter" miterlimit="10" on="false" color="#000000" opacity="0"/>
                  <v:fill on="true" color="#000000"/>
                </v:shape>
                <v:shape id="Shape 23189" style="position:absolute;width:121;height:121;left:43211;top:0;" coordsize="12192,12192" path="m0,0l12192,0l12192,12192l0,12192l0,0">
                  <v:stroke weight="0pt" endcap="flat" joinstyle="miter" miterlimit="10" on="false" color="#000000" opacity="0"/>
                  <v:fill on="true" color="#000000"/>
                </v:shape>
                <v:shape id="Shape 23190" style="position:absolute;width:14282;height:121;left:43333;top:0;" coordsize="1428242,12192" path="m0,0l1428242,0l1428242,12192l0,12192l0,0">
                  <v:stroke weight="0pt" endcap="flat" joinstyle="miter" miterlimit="10" on="false" color="#000000" opacity="0"/>
                  <v:fill on="true" color="#000000"/>
                </v:shape>
                <v:shape id="Shape 23191" style="position:absolute;width:121;height:121;left:57616;top:0;" coordsize="12192,12192" path="m0,0l12192,0l12192,12192l0,12192l0,0">
                  <v:stroke weight="0pt" endcap="flat" joinstyle="miter" miterlimit="10" on="false" color="#000000" opacity="0"/>
                  <v:fill on="true" color="#000000"/>
                </v:shape>
                <v:shape id="Shape 23192" style="position:absolute;width:14282;height:121;left:57738;top:0;" coordsize="1428242,12192" path="m0,0l1428242,0l1428242,12192l0,12192l0,0">
                  <v:stroke weight="0pt" endcap="flat" joinstyle="miter" miterlimit="10" on="false" color="#000000" opacity="0"/>
                  <v:fill on="true" color="#000000"/>
                </v:shape>
                <v:shape id="Shape 23193" style="position:absolute;width:121;height:121;left:72021;top:0;" coordsize="12192,12192" path="m0,0l12192,0l12192,12192l0,12192l0,0">
                  <v:stroke weight="0pt" endcap="flat" joinstyle="miter" miterlimit="10" on="false" color="#000000" opacity="0"/>
                  <v:fill on="true" color="#000000"/>
                </v:shape>
                <v:shape id="Shape 23194" style="position:absolute;width:14279;height:121;left:72143;top:0;" coordsize="1427988,12192" path="m0,0l1427988,0l1427988,12192l0,12192l0,0">
                  <v:stroke weight="0pt" endcap="flat" joinstyle="miter" miterlimit="10" on="false" color="#000000" opacity="0"/>
                  <v:fill on="true" color="#000000"/>
                </v:shape>
              </v:group>
            </w:pict>
          </mc:Fallback>
        </mc:AlternateContent>
      </w:r>
    </w:p>
    <w:p w:rsidR="001C336F" w:rsidRDefault="00C657BF">
      <w:pPr>
        <w:tabs>
          <w:tab w:val="center" w:pos="3199"/>
          <w:tab w:val="center" w:pos="4907"/>
        </w:tabs>
        <w:spacing w:after="4" w:line="250" w:lineRule="auto"/>
        <w:ind w:left="0" w:right="0" w:firstLine="0"/>
        <w:jc w:val="left"/>
      </w:pPr>
      <w:r>
        <w:rPr>
          <w:rFonts w:ascii="Calibri" w:eastAsia="Calibri" w:hAnsi="Calibri" w:cs="Calibri"/>
          <w:sz w:val="22"/>
        </w:rPr>
        <w:tab/>
      </w:r>
      <w:r>
        <w:rPr>
          <w:sz w:val="18"/>
        </w:rPr>
        <w:t xml:space="preserve">phenotyping algorithms </w:t>
      </w:r>
      <w:r>
        <w:rPr>
          <w:sz w:val="18"/>
        </w:rPr>
        <w:tab/>
        <w:t xml:space="preserve">providers </w:t>
      </w:r>
    </w:p>
    <w:tbl>
      <w:tblPr>
        <w:tblStyle w:val="TableGrid"/>
        <w:tblW w:w="13610" w:type="dxa"/>
        <w:tblInd w:w="-108" w:type="dxa"/>
        <w:tblCellMar>
          <w:top w:w="0" w:type="dxa"/>
          <w:left w:w="0" w:type="dxa"/>
          <w:bottom w:w="0" w:type="dxa"/>
          <w:right w:w="115" w:type="dxa"/>
        </w:tblCellMar>
        <w:tblLook w:val="04A0" w:firstRow="1" w:lastRow="0" w:firstColumn="1" w:lastColumn="0" w:noHBand="0" w:noVBand="1"/>
      </w:tblPr>
      <w:tblGrid>
        <w:gridCol w:w="2376"/>
        <w:gridCol w:w="2269"/>
        <w:gridCol w:w="2268"/>
        <w:gridCol w:w="2268"/>
        <w:gridCol w:w="2269"/>
        <w:gridCol w:w="2160"/>
      </w:tblGrid>
      <w:tr w:rsidR="001C336F">
        <w:trPr>
          <w:trHeight w:val="1241"/>
        </w:trPr>
        <w:tc>
          <w:tcPr>
            <w:tcW w:w="2376" w:type="dxa"/>
            <w:tcBorders>
              <w:top w:val="nil"/>
              <w:left w:val="nil"/>
              <w:bottom w:val="nil"/>
              <w:right w:val="nil"/>
            </w:tcBorders>
            <w:shd w:val="clear" w:color="auto" w:fill="C0C0C0"/>
          </w:tcPr>
          <w:p w:rsidR="001C336F" w:rsidRDefault="00C657BF">
            <w:pPr>
              <w:spacing w:after="0" w:line="259" w:lineRule="auto"/>
              <w:ind w:left="108" w:right="0" w:firstLine="0"/>
              <w:jc w:val="left"/>
            </w:pPr>
            <w:r>
              <w:rPr>
                <w:sz w:val="18"/>
              </w:rPr>
              <w:t xml:space="preserve">Mount Sinai School of Medicine </w:t>
            </w:r>
          </w:p>
        </w:tc>
        <w:tc>
          <w:tcPr>
            <w:tcW w:w="2269" w:type="dxa"/>
            <w:tcBorders>
              <w:top w:val="nil"/>
              <w:left w:val="nil"/>
              <w:bottom w:val="nil"/>
              <w:right w:val="nil"/>
            </w:tcBorders>
            <w:shd w:val="clear" w:color="auto" w:fill="C0C0C0"/>
          </w:tcPr>
          <w:p w:rsidR="001C336F" w:rsidRDefault="00C657BF">
            <w:pPr>
              <w:spacing w:after="0" w:line="239" w:lineRule="auto"/>
              <w:ind w:left="0" w:right="0" w:firstLine="0"/>
              <w:jc w:val="left"/>
            </w:pPr>
            <w:r>
              <w:rPr>
                <w:sz w:val="18"/>
              </w:rPr>
              <w:t xml:space="preserve">Develop and implement secure prototype </w:t>
            </w:r>
          </w:p>
          <w:p w:rsidR="001C336F" w:rsidRDefault="00C657BF">
            <w:pPr>
              <w:spacing w:after="0" w:line="259" w:lineRule="auto"/>
              <w:ind w:left="0" w:right="0" w:firstLine="0"/>
              <w:jc w:val="left"/>
            </w:pPr>
            <w:r>
              <w:rPr>
                <w:sz w:val="18"/>
              </w:rPr>
              <w:t xml:space="preserve">Biobank-EMR genomic data interface and </w:t>
            </w:r>
            <w:proofErr w:type="spellStart"/>
            <w:r>
              <w:rPr>
                <w:sz w:val="18"/>
              </w:rPr>
              <w:t>EMRenabled</w:t>
            </w:r>
            <w:proofErr w:type="spellEnd"/>
            <w:r>
              <w:rPr>
                <w:sz w:val="18"/>
              </w:rPr>
              <w:t xml:space="preserve"> genomic CDS in clinical care </w:t>
            </w:r>
          </w:p>
        </w:tc>
        <w:tc>
          <w:tcPr>
            <w:tcW w:w="2268" w:type="dxa"/>
            <w:tcBorders>
              <w:top w:val="nil"/>
              <w:left w:val="nil"/>
              <w:bottom w:val="nil"/>
              <w:right w:val="nil"/>
            </w:tcBorders>
            <w:shd w:val="clear" w:color="auto" w:fill="C0C0C0"/>
          </w:tcPr>
          <w:p w:rsidR="001C336F" w:rsidRDefault="00C657BF">
            <w:pPr>
              <w:spacing w:after="0" w:line="259" w:lineRule="auto"/>
              <w:ind w:left="0" w:right="0" w:firstLine="0"/>
              <w:jc w:val="left"/>
            </w:pPr>
            <w:r>
              <w:rPr>
                <w:sz w:val="18"/>
              </w:rPr>
              <w:t xml:space="preserve">Develop phenotyping algorithms for chronic kidney disease and its progression </w:t>
            </w:r>
          </w:p>
        </w:tc>
        <w:tc>
          <w:tcPr>
            <w:tcW w:w="2268" w:type="dxa"/>
            <w:tcBorders>
              <w:top w:val="nil"/>
              <w:left w:val="nil"/>
              <w:bottom w:val="nil"/>
              <w:right w:val="nil"/>
            </w:tcBorders>
            <w:shd w:val="clear" w:color="auto" w:fill="C0C0C0"/>
          </w:tcPr>
          <w:p w:rsidR="001C336F" w:rsidRDefault="00C657BF">
            <w:pPr>
              <w:spacing w:after="0" w:line="259" w:lineRule="auto"/>
              <w:ind w:left="0" w:right="0" w:firstLine="0"/>
              <w:jc w:val="left"/>
            </w:pPr>
            <w:r>
              <w:rPr>
                <w:sz w:val="18"/>
              </w:rPr>
              <w:t xml:space="preserve">Expand GWAS for cardiovascular and renal phenotypes across minority populations </w:t>
            </w:r>
          </w:p>
        </w:tc>
        <w:tc>
          <w:tcPr>
            <w:tcW w:w="2269" w:type="dxa"/>
            <w:tcBorders>
              <w:top w:val="nil"/>
              <w:left w:val="nil"/>
              <w:bottom w:val="nil"/>
              <w:right w:val="nil"/>
            </w:tcBorders>
            <w:shd w:val="clear" w:color="auto" w:fill="C0C0C0"/>
          </w:tcPr>
          <w:p w:rsidR="001C336F" w:rsidRDefault="00C657BF">
            <w:pPr>
              <w:spacing w:after="0" w:line="239" w:lineRule="auto"/>
              <w:ind w:left="0" w:right="72" w:firstLine="0"/>
              <w:jc w:val="left"/>
            </w:pPr>
            <w:r>
              <w:rPr>
                <w:sz w:val="18"/>
              </w:rPr>
              <w:t xml:space="preserve">Implement novel solutions incorporating </w:t>
            </w:r>
          </w:p>
          <w:p w:rsidR="001C336F" w:rsidRDefault="00C657BF">
            <w:pPr>
              <w:spacing w:after="0" w:line="259" w:lineRule="auto"/>
              <w:ind w:left="0" w:right="0" w:firstLine="0"/>
              <w:jc w:val="left"/>
            </w:pPr>
            <w:r>
              <w:rPr>
                <w:sz w:val="18"/>
              </w:rPr>
              <w:t xml:space="preserve">genomic results with </w:t>
            </w:r>
          </w:p>
          <w:p w:rsidR="001C336F" w:rsidRDefault="00C657BF">
            <w:pPr>
              <w:spacing w:after="0" w:line="259" w:lineRule="auto"/>
              <w:ind w:left="0" w:right="0" w:firstLine="0"/>
              <w:jc w:val="left"/>
            </w:pPr>
            <w:r>
              <w:rPr>
                <w:sz w:val="18"/>
              </w:rPr>
              <w:t xml:space="preserve">EMR </w:t>
            </w:r>
          </w:p>
        </w:tc>
        <w:tc>
          <w:tcPr>
            <w:tcW w:w="2160" w:type="dxa"/>
            <w:tcBorders>
              <w:top w:val="nil"/>
              <w:left w:val="nil"/>
              <w:bottom w:val="nil"/>
              <w:right w:val="nil"/>
            </w:tcBorders>
            <w:shd w:val="clear" w:color="auto" w:fill="C0C0C0"/>
          </w:tcPr>
          <w:p w:rsidR="001C336F" w:rsidRDefault="00C657BF">
            <w:pPr>
              <w:spacing w:after="0" w:line="259" w:lineRule="auto"/>
              <w:ind w:left="0" w:right="0" w:firstLine="0"/>
              <w:jc w:val="left"/>
            </w:pPr>
            <w:r>
              <w:rPr>
                <w:sz w:val="18"/>
              </w:rPr>
              <w:t>Explore innovative approache</w:t>
            </w:r>
            <w:r>
              <w:rPr>
                <w:sz w:val="18"/>
              </w:rPr>
              <w:t xml:space="preserve">s for community-participatory education and research in genomic medicine </w:t>
            </w:r>
          </w:p>
        </w:tc>
      </w:tr>
      <w:tr w:rsidR="001C336F">
        <w:trPr>
          <w:trHeight w:val="1858"/>
        </w:trPr>
        <w:tc>
          <w:tcPr>
            <w:tcW w:w="2376" w:type="dxa"/>
            <w:tcBorders>
              <w:top w:val="nil"/>
              <w:left w:val="nil"/>
              <w:bottom w:val="nil"/>
              <w:right w:val="nil"/>
            </w:tcBorders>
          </w:tcPr>
          <w:p w:rsidR="001C336F" w:rsidRDefault="00C657BF">
            <w:pPr>
              <w:spacing w:after="0" w:line="259" w:lineRule="auto"/>
              <w:ind w:left="108" w:right="0" w:firstLine="0"/>
              <w:jc w:val="left"/>
            </w:pPr>
            <w:r>
              <w:rPr>
                <w:sz w:val="18"/>
              </w:rPr>
              <w:t xml:space="preserve">Northwestern University </w:t>
            </w:r>
          </w:p>
        </w:tc>
        <w:tc>
          <w:tcPr>
            <w:tcW w:w="2269" w:type="dxa"/>
            <w:tcBorders>
              <w:top w:val="nil"/>
              <w:left w:val="nil"/>
              <w:bottom w:val="nil"/>
              <w:right w:val="nil"/>
            </w:tcBorders>
          </w:tcPr>
          <w:p w:rsidR="001C336F" w:rsidRDefault="00C657BF">
            <w:pPr>
              <w:spacing w:after="0" w:line="259" w:lineRule="auto"/>
              <w:ind w:left="0" w:right="8" w:firstLine="0"/>
              <w:jc w:val="left"/>
            </w:pPr>
            <w:r>
              <w:rPr>
                <w:sz w:val="18"/>
              </w:rPr>
              <w:t xml:space="preserve">Expand development of phenotype algorithms and detection of new genomic associations </w:t>
            </w:r>
          </w:p>
        </w:tc>
        <w:tc>
          <w:tcPr>
            <w:tcW w:w="2268" w:type="dxa"/>
            <w:tcBorders>
              <w:top w:val="nil"/>
              <w:left w:val="nil"/>
              <w:bottom w:val="nil"/>
              <w:right w:val="nil"/>
            </w:tcBorders>
          </w:tcPr>
          <w:p w:rsidR="001C336F" w:rsidRDefault="00C657BF">
            <w:pPr>
              <w:spacing w:after="0" w:line="259" w:lineRule="auto"/>
              <w:ind w:left="0" w:right="8" w:firstLine="0"/>
              <w:jc w:val="left"/>
            </w:pPr>
            <w:r>
              <w:rPr>
                <w:sz w:val="18"/>
              </w:rPr>
              <w:t xml:space="preserve">Consult with physicians and patients regarding the utility of </w:t>
            </w:r>
            <w:proofErr w:type="gramStart"/>
            <w:r>
              <w:rPr>
                <w:sz w:val="18"/>
              </w:rPr>
              <w:t>real world</w:t>
            </w:r>
            <w:proofErr w:type="gramEnd"/>
            <w:r>
              <w:rPr>
                <w:sz w:val="18"/>
              </w:rPr>
              <w:t xml:space="preserve"> examples of clinically relevant genotypes and to inform clinical activities </w:t>
            </w:r>
          </w:p>
        </w:tc>
        <w:tc>
          <w:tcPr>
            <w:tcW w:w="2268" w:type="dxa"/>
            <w:tcBorders>
              <w:top w:val="nil"/>
              <w:left w:val="nil"/>
              <w:bottom w:val="nil"/>
              <w:right w:val="nil"/>
            </w:tcBorders>
          </w:tcPr>
          <w:p w:rsidR="001C336F" w:rsidRDefault="00C657BF">
            <w:pPr>
              <w:spacing w:after="0" w:line="259" w:lineRule="auto"/>
              <w:ind w:left="0" w:right="18" w:firstLine="0"/>
              <w:jc w:val="left"/>
            </w:pPr>
            <w:r>
              <w:rPr>
                <w:sz w:val="18"/>
              </w:rPr>
              <w:t>Develop technical ap</w:t>
            </w:r>
            <w:r>
              <w:rPr>
                <w:sz w:val="18"/>
              </w:rPr>
              <w:t xml:space="preserve">proaches for integrating genetic variant data into the EMR </w:t>
            </w:r>
          </w:p>
        </w:tc>
        <w:tc>
          <w:tcPr>
            <w:tcW w:w="2269" w:type="dxa"/>
            <w:tcBorders>
              <w:top w:val="nil"/>
              <w:left w:val="nil"/>
              <w:bottom w:val="nil"/>
              <w:right w:val="nil"/>
            </w:tcBorders>
          </w:tcPr>
          <w:p w:rsidR="001C336F" w:rsidRDefault="00C657BF">
            <w:pPr>
              <w:spacing w:after="0" w:line="259" w:lineRule="auto"/>
              <w:ind w:left="0" w:right="0" w:firstLine="0"/>
              <w:jc w:val="left"/>
            </w:pPr>
            <w:r>
              <w:rPr>
                <w:sz w:val="18"/>
              </w:rPr>
              <w:t xml:space="preserve">Evaluate impact of key translational elements (e.g. regulatory barriers, EMR CDS </w:t>
            </w:r>
            <w:r>
              <w:rPr>
                <w:sz w:val="18"/>
              </w:rPr>
              <w:t xml:space="preserve">tools, and provider and patient education) and disseminate lessons learned and best practice recommendations </w:t>
            </w:r>
          </w:p>
        </w:tc>
        <w:tc>
          <w:tcPr>
            <w:tcW w:w="2160" w:type="dxa"/>
            <w:tcBorders>
              <w:top w:val="nil"/>
              <w:left w:val="nil"/>
              <w:bottom w:val="nil"/>
              <w:right w:val="nil"/>
            </w:tcBorders>
          </w:tcPr>
          <w:p w:rsidR="001C336F" w:rsidRDefault="00C657BF">
            <w:pPr>
              <w:spacing w:after="0" w:line="259" w:lineRule="auto"/>
              <w:ind w:left="0" w:right="0" w:firstLine="0"/>
              <w:jc w:val="left"/>
            </w:pPr>
            <w:r>
              <w:rPr>
                <w:sz w:val="18"/>
              </w:rPr>
              <w:t xml:space="preserve"> </w:t>
            </w:r>
          </w:p>
        </w:tc>
      </w:tr>
      <w:tr w:rsidR="001C336F">
        <w:trPr>
          <w:trHeight w:val="828"/>
        </w:trPr>
        <w:tc>
          <w:tcPr>
            <w:tcW w:w="2376" w:type="dxa"/>
            <w:tcBorders>
              <w:top w:val="nil"/>
              <w:left w:val="nil"/>
              <w:bottom w:val="nil"/>
              <w:right w:val="nil"/>
            </w:tcBorders>
            <w:shd w:val="clear" w:color="auto" w:fill="C0C0C0"/>
          </w:tcPr>
          <w:p w:rsidR="001C336F" w:rsidRDefault="00C657BF">
            <w:pPr>
              <w:spacing w:after="0" w:line="259" w:lineRule="auto"/>
              <w:ind w:left="108" w:right="0" w:firstLine="0"/>
              <w:jc w:val="left"/>
            </w:pPr>
            <w:r>
              <w:rPr>
                <w:sz w:val="18"/>
              </w:rPr>
              <w:t xml:space="preserve">Vanderbilt University </w:t>
            </w:r>
          </w:p>
        </w:tc>
        <w:tc>
          <w:tcPr>
            <w:tcW w:w="2269" w:type="dxa"/>
            <w:tcBorders>
              <w:top w:val="nil"/>
              <w:left w:val="nil"/>
              <w:bottom w:val="nil"/>
              <w:right w:val="nil"/>
            </w:tcBorders>
            <w:shd w:val="clear" w:color="auto" w:fill="C0C0C0"/>
          </w:tcPr>
          <w:p w:rsidR="001C336F" w:rsidRDefault="00C657BF">
            <w:pPr>
              <w:spacing w:after="0" w:line="259" w:lineRule="auto"/>
              <w:ind w:left="0" w:right="0" w:firstLine="0"/>
              <w:jc w:val="left"/>
            </w:pPr>
            <w:r>
              <w:rPr>
                <w:sz w:val="18"/>
              </w:rPr>
              <w:t xml:space="preserve">Accelerate development of phenotype algorithms </w:t>
            </w:r>
          </w:p>
        </w:tc>
        <w:tc>
          <w:tcPr>
            <w:tcW w:w="2268" w:type="dxa"/>
            <w:tcBorders>
              <w:top w:val="nil"/>
              <w:left w:val="nil"/>
              <w:bottom w:val="nil"/>
              <w:right w:val="nil"/>
            </w:tcBorders>
            <w:shd w:val="clear" w:color="auto" w:fill="C0C0C0"/>
          </w:tcPr>
          <w:p w:rsidR="001C336F" w:rsidRDefault="00C657BF">
            <w:pPr>
              <w:spacing w:after="0" w:line="259" w:lineRule="auto"/>
              <w:ind w:left="0" w:right="0" w:firstLine="0"/>
              <w:jc w:val="left"/>
            </w:pPr>
            <w:r>
              <w:rPr>
                <w:sz w:val="18"/>
              </w:rPr>
              <w:t xml:space="preserve">Identify combinations of genotypes highly predictive of disease or drug </w:t>
            </w:r>
            <w:r>
              <w:rPr>
                <w:sz w:val="18"/>
              </w:rPr>
              <w:t xml:space="preserve">response outcomes </w:t>
            </w:r>
          </w:p>
        </w:tc>
        <w:tc>
          <w:tcPr>
            <w:tcW w:w="2268" w:type="dxa"/>
            <w:tcBorders>
              <w:top w:val="nil"/>
              <w:left w:val="nil"/>
              <w:bottom w:val="nil"/>
              <w:right w:val="nil"/>
            </w:tcBorders>
            <w:shd w:val="clear" w:color="auto" w:fill="C0C0C0"/>
          </w:tcPr>
          <w:p w:rsidR="001C336F" w:rsidRDefault="00C657BF">
            <w:pPr>
              <w:spacing w:after="0" w:line="259" w:lineRule="auto"/>
              <w:ind w:left="0" w:right="0" w:firstLine="0"/>
              <w:jc w:val="left"/>
            </w:pPr>
            <w:r>
              <w:rPr>
                <w:sz w:val="18"/>
              </w:rPr>
              <w:t xml:space="preserve">Study patient perspectives of genetic testing to guide drug prescribing </w:t>
            </w:r>
          </w:p>
        </w:tc>
        <w:tc>
          <w:tcPr>
            <w:tcW w:w="2269" w:type="dxa"/>
            <w:tcBorders>
              <w:top w:val="nil"/>
              <w:left w:val="nil"/>
              <w:bottom w:val="nil"/>
              <w:right w:val="nil"/>
            </w:tcBorders>
            <w:shd w:val="clear" w:color="auto" w:fill="C0C0C0"/>
          </w:tcPr>
          <w:p w:rsidR="001C336F" w:rsidRDefault="00C657BF">
            <w:pPr>
              <w:spacing w:after="0" w:line="259" w:lineRule="auto"/>
              <w:ind w:left="0" w:right="1" w:firstLine="0"/>
              <w:jc w:val="left"/>
            </w:pPr>
            <w:r>
              <w:rPr>
                <w:sz w:val="18"/>
              </w:rPr>
              <w:t xml:space="preserve">Develop tools to maximize sharing of genomic information while preserving privacy </w:t>
            </w:r>
          </w:p>
        </w:tc>
        <w:tc>
          <w:tcPr>
            <w:tcW w:w="2160" w:type="dxa"/>
            <w:tcBorders>
              <w:top w:val="nil"/>
              <w:left w:val="nil"/>
              <w:bottom w:val="nil"/>
              <w:right w:val="nil"/>
            </w:tcBorders>
            <w:shd w:val="clear" w:color="auto" w:fill="C0C0C0"/>
          </w:tcPr>
          <w:p w:rsidR="001C336F" w:rsidRDefault="00C657BF">
            <w:pPr>
              <w:spacing w:after="0" w:line="259" w:lineRule="auto"/>
              <w:ind w:left="0" w:right="0" w:firstLine="0"/>
              <w:jc w:val="left"/>
            </w:pPr>
            <w:r>
              <w:rPr>
                <w:sz w:val="18"/>
              </w:rPr>
              <w:t xml:space="preserve"> </w:t>
            </w:r>
          </w:p>
        </w:tc>
      </w:tr>
      <w:tr w:rsidR="001C336F">
        <w:trPr>
          <w:trHeight w:val="1253"/>
        </w:trPr>
        <w:tc>
          <w:tcPr>
            <w:tcW w:w="2376" w:type="dxa"/>
            <w:tcBorders>
              <w:top w:val="nil"/>
              <w:left w:val="nil"/>
              <w:bottom w:val="single" w:sz="8" w:space="0" w:color="000000"/>
              <w:right w:val="nil"/>
            </w:tcBorders>
          </w:tcPr>
          <w:p w:rsidR="001C336F" w:rsidRDefault="00C657BF">
            <w:pPr>
              <w:spacing w:after="0" w:line="240" w:lineRule="auto"/>
              <w:ind w:left="108" w:right="0" w:firstLine="0"/>
              <w:jc w:val="left"/>
            </w:pPr>
            <w:r>
              <w:rPr>
                <w:sz w:val="18"/>
              </w:rPr>
              <w:t xml:space="preserve">Coordinating Center Vanderbilt University </w:t>
            </w:r>
            <w:r>
              <w:rPr>
                <w:sz w:val="18"/>
              </w:rPr>
              <w:t xml:space="preserve">with subcontract to the Pennsylvania State </w:t>
            </w:r>
          </w:p>
          <w:p w:rsidR="001C336F" w:rsidRDefault="00C657BF">
            <w:pPr>
              <w:spacing w:after="0" w:line="259" w:lineRule="auto"/>
              <w:ind w:left="108" w:right="0" w:firstLine="0"/>
              <w:jc w:val="left"/>
            </w:pPr>
            <w:r>
              <w:rPr>
                <w:sz w:val="18"/>
              </w:rPr>
              <w:t xml:space="preserve">University </w:t>
            </w:r>
          </w:p>
        </w:tc>
        <w:tc>
          <w:tcPr>
            <w:tcW w:w="2269" w:type="dxa"/>
            <w:tcBorders>
              <w:top w:val="nil"/>
              <w:left w:val="nil"/>
              <w:bottom w:val="single" w:sz="8" w:space="0" w:color="000000"/>
              <w:right w:val="nil"/>
            </w:tcBorders>
          </w:tcPr>
          <w:p w:rsidR="001C336F" w:rsidRDefault="00C657BF">
            <w:pPr>
              <w:spacing w:after="0" w:line="259" w:lineRule="auto"/>
              <w:ind w:left="0" w:right="0" w:firstLine="0"/>
              <w:jc w:val="left"/>
            </w:pPr>
            <w:r>
              <w:rPr>
                <w:sz w:val="18"/>
              </w:rPr>
              <w:t xml:space="preserve">Facilitate communication between </w:t>
            </w:r>
            <w:proofErr w:type="spellStart"/>
            <w:r>
              <w:rPr>
                <w:sz w:val="18"/>
              </w:rPr>
              <w:t>eMERGE</w:t>
            </w:r>
            <w:proofErr w:type="spellEnd"/>
            <w:r>
              <w:rPr>
                <w:sz w:val="18"/>
              </w:rPr>
              <w:t xml:space="preserve"> sites and coordinate in-person Steering Committee meetings </w:t>
            </w:r>
          </w:p>
        </w:tc>
        <w:tc>
          <w:tcPr>
            <w:tcW w:w="2268" w:type="dxa"/>
            <w:tcBorders>
              <w:top w:val="nil"/>
              <w:left w:val="nil"/>
              <w:bottom w:val="single" w:sz="8" w:space="0" w:color="000000"/>
              <w:right w:val="nil"/>
            </w:tcBorders>
          </w:tcPr>
          <w:p w:rsidR="001C336F" w:rsidRDefault="00C657BF">
            <w:pPr>
              <w:spacing w:after="2" w:line="239" w:lineRule="auto"/>
              <w:ind w:left="0" w:right="0" w:firstLine="0"/>
            </w:pPr>
            <w:r>
              <w:rPr>
                <w:sz w:val="18"/>
              </w:rPr>
              <w:t xml:space="preserve">Provide project management and </w:t>
            </w:r>
          </w:p>
          <w:p w:rsidR="001C336F" w:rsidRDefault="00C657BF">
            <w:pPr>
              <w:spacing w:after="0" w:line="259" w:lineRule="auto"/>
              <w:ind w:left="0" w:right="0" w:firstLine="0"/>
              <w:jc w:val="left"/>
            </w:pPr>
            <w:r>
              <w:rPr>
                <w:sz w:val="18"/>
              </w:rPr>
              <w:t xml:space="preserve">administrative support for all workgroups and ESP </w:t>
            </w:r>
          </w:p>
        </w:tc>
        <w:tc>
          <w:tcPr>
            <w:tcW w:w="2268" w:type="dxa"/>
            <w:tcBorders>
              <w:top w:val="nil"/>
              <w:left w:val="nil"/>
              <w:bottom w:val="single" w:sz="8" w:space="0" w:color="000000"/>
              <w:right w:val="nil"/>
            </w:tcBorders>
          </w:tcPr>
          <w:p w:rsidR="001C336F" w:rsidRDefault="00C657BF">
            <w:pPr>
              <w:spacing w:after="0" w:line="259" w:lineRule="auto"/>
              <w:ind w:left="0" w:right="0" w:firstLine="0"/>
              <w:jc w:val="left"/>
            </w:pPr>
            <w:r>
              <w:rPr>
                <w:sz w:val="18"/>
              </w:rPr>
              <w:t xml:space="preserve">Provide leadership in advancement of electronic phenotyping, genomic data management, and data privacy </w:t>
            </w:r>
          </w:p>
        </w:tc>
        <w:tc>
          <w:tcPr>
            <w:tcW w:w="2269" w:type="dxa"/>
            <w:tcBorders>
              <w:top w:val="nil"/>
              <w:left w:val="nil"/>
              <w:bottom w:val="single" w:sz="8" w:space="0" w:color="000000"/>
              <w:right w:val="nil"/>
            </w:tcBorders>
          </w:tcPr>
          <w:p w:rsidR="001C336F" w:rsidRDefault="00C657BF">
            <w:pPr>
              <w:spacing w:after="0" w:line="259" w:lineRule="auto"/>
              <w:ind w:left="0" w:right="0" w:firstLine="0"/>
              <w:jc w:val="left"/>
            </w:pPr>
            <w:r>
              <w:rPr>
                <w:sz w:val="18"/>
              </w:rPr>
              <w:t xml:space="preserve">Develop and maintain </w:t>
            </w:r>
          </w:p>
          <w:p w:rsidR="001C336F" w:rsidRDefault="00C657BF">
            <w:pPr>
              <w:spacing w:after="0" w:line="259" w:lineRule="auto"/>
              <w:ind w:left="0" w:right="0" w:firstLine="0"/>
              <w:jc w:val="left"/>
            </w:pPr>
            <w:r>
              <w:rPr>
                <w:sz w:val="18"/>
              </w:rPr>
              <w:t xml:space="preserve">web portal (www.gwas.org) </w:t>
            </w:r>
          </w:p>
        </w:tc>
        <w:tc>
          <w:tcPr>
            <w:tcW w:w="2160" w:type="dxa"/>
            <w:tcBorders>
              <w:top w:val="nil"/>
              <w:left w:val="nil"/>
              <w:bottom w:val="single" w:sz="8" w:space="0" w:color="000000"/>
              <w:right w:val="nil"/>
            </w:tcBorders>
          </w:tcPr>
          <w:p w:rsidR="001C336F" w:rsidRDefault="00C657BF">
            <w:pPr>
              <w:spacing w:after="0" w:line="259" w:lineRule="auto"/>
              <w:ind w:left="0" w:right="0" w:firstLine="0"/>
              <w:jc w:val="left"/>
            </w:pPr>
            <w:r>
              <w:rPr>
                <w:sz w:val="18"/>
              </w:rPr>
              <w:t xml:space="preserve">Provide organizational dashboards with </w:t>
            </w:r>
            <w:proofErr w:type="spellStart"/>
            <w:r>
              <w:rPr>
                <w:sz w:val="18"/>
              </w:rPr>
              <w:t>sitespecific</w:t>
            </w:r>
            <w:proofErr w:type="spellEnd"/>
            <w:r>
              <w:rPr>
                <w:sz w:val="18"/>
              </w:rPr>
              <w:t xml:space="preserve"> </w:t>
            </w:r>
            <w:r>
              <w:rPr>
                <w:sz w:val="18"/>
              </w:rPr>
              <w:t xml:space="preserve">and network progress towards goals </w:t>
            </w:r>
          </w:p>
        </w:tc>
      </w:tr>
    </w:tbl>
    <w:p w:rsidR="001C336F" w:rsidRDefault="00C657BF">
      <w:pPr>
        <w:spacing w:after="4" w:line="250" w:lineRule="auto"/>
        <w:ind w:left="-5" w:right="375"/>
      </w:pPr>
      <w:r>
        <w:rPr>
          <w:sz w:val="18"/>
        </w:rPr>
        <w:t>AAA, abdominal aortic aneurysm; ADHD, attention deficit hyperactivity disorder; CDS, Clinical Decision Support; CHD, coronary heart disease; CHF, chronic heart failure; EMR, electronic medical records; ESP, external sci</w:t>
      </w:r>
      <w:r>
        <w:rPr>
          <w:sz w:val="18"/>
        </w:rPr>
        <w:t xml:space="preserve">entific panel; GERD, gastroesophageal reflux disease; GWAS, genome-wide association study; </w:t>
      </w:r>
      <w:proofErr w:type="spellStart"/>
      <w:r>
        <w:rPr>
          <w:sz w:val="18"/>
        </w:rPr>
        <w:t>PheWAS</w:t>
      </w:r>
      <w:proofErr w:type="spellEnd"/>
      <w:r>
        <w:rPr>
          <w:sz w:val="18"/>
        </w:rPr>
        <w:t>, phenome-wide</w:t>
      </w:r>
      <w:r>
        <w:t xml:space="preserve"> association study; VTE, venous </w:t>
      </w:r>
      <w:proofErr w:type="spellStart"/>
      <w:r>
        <w:t>tromboembolism</w:t>
      </w:r>
      <w:proofErr w:type="spellEnd"/>
      <w:r>
        <w:t xml:space="preserve">. For details on biorepositories and EMR, see Table 1 in the main section. </w:t>
      </w:r>
    </w:p>
    <w:p w:rsidR="001C336F" w:rsidRDefault="00C657BF">
      <w:pPr>
        <w:spacing w:after="0" w:line="259" w:lineRule="auto"/>
        <w:ind w:left="0" w:right="0" w:firstLine="0"/>
        <w:jc w:val="left"/>
      </w:pPr>
      <w:r>
        <w:t xml:space="preserve"> </w:t>
      </w:r>
    </w:p>
    <w:p w:rsidR="001C336F" w:rsidRDefault="00C657BF">
      <w:pPr>
        <w:spacing w:after="0" w:line="259" w:lineRule="auto"/>
        <w:ind w:left="0"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1C336F" w:rsidRDefault="00C657BF">
      <w:pPr>
        <w:pStyle w:val="1"/>
        <w:ind w:right="0"/>
      </w:pPr>
      <w:r>
        <w:rPr>
          <w:sz w:val="24"/>
        </w:rPr>
        <w:lastRenderedPageBreak/>
        <w:t xml:space="preserve">Table S2. </w:t>
      </w:r>
      <w:proofErr w:type="spellStart"/>
      <w:r>
        <w:rPr>
          <w:sz w:val="24"/>
        </w:rPr>
        <w:t>eMERGE</w:t>
      </w:r>
      <w:proofErr w:type="spellEnd"/>
      <w:r>
        <w:rPr>
          <w:sz w:val="24"/>
        </w:rPr>
        <w:t xml:space="preserve"> Phase II Phenotypes </w:t>
      </w:r>
    </w:p>
    <w:p w:rsidR="001C336F" w:rsidRDefault="00C657BF">
      <w:pPr>
        <w:spacing w:after="0" w:line="259" w:lineRule="auto"/>
        <w:ind w:left="0" w:right="0" w:firstLine="0"/>
        <w:jc w:val="left"/>
      </w:pPr>
      <w:r>
        <w:rPr>
          <w:rFonts w:ascii="Times New Roman" w:eastAsia="Times New Roman" w:hAnsi="Times New Roman" w:cs="Times New Roman"/>
          <w:sz w:val="24"/>
        </w:rPr>
        <w:t xml:space="preserve"> </w:t>
      </w:r>
    </w:p>
    <w:tbl>
      <w:tblPr>
        <w:tblStyle w:val="TableGrid"/>
        <w:tblW w:w="12542" w:type="dxa"/>
        <w:tblInd w:w="-29" w:type="dxa"/>
        <w:tblCellMar>
          <w:top w:w="0" w:type="dxa"/>
          <w:left w:w="0" w:type="dxa"/>
          <w:bottom w:w="0" w:type="dxa"/>
          <w:right w:w="504" w:type="dxa"/>
        </w:tblCellMar>
        <w:tblLook w:val="04A0" w:firstRow="1" w:lastRow="0" w:firstColumn="1" w:lastColumn="0" w:noHBand="0" w:noVBand="1"/>
      </w:tblPr>
      <w:tblGrid>
        <w:gridCol w:w="7107"/>
        <w:gridCol w:w="2288"/>
        <w:gridCol w:w="3147"/>
      </w:tblGrid>
      <w:tr w:rsidR="001C336F">
        <w:trPr>
          <w:trHeight w:val="286"/>
        </w:trPr>
        <w:tc>
          <w:tcPr>
            <w:tcW w:w="7107" w:type="dxa"/>
            <w:vMerge w:val="restart"/>
            <w:tcBorders>
              <w:top w:val="single" w:sz="4" w:space="0" w:color="000000"/>
              <w:left w:val="nil"/>
              <w:bottom w:val="single" w:sz="12" w:space="0" w:color="000000"/>
              <w:right w:val="nil"/>
            </w:tcBorders>
            <w:vAlign w:val="bottom"/>
          </w:tcPr>
          <w:p w:rsidR="001C336F" w:rsidRDefault="00C657BF">
            <w:pPr>
              <w:spacing w:after="0" w:line="259" w:lineRule="auto"/>
              <w:ind w:left="122" w:right="0" w:firstLine="0"/>
              <w:jc w:val="left"/>
            </w:pPr>
            <w:r>
              <w:rPr>
                <w:b/>
                <w:sz w:val="24"/>
              </w:rPr>
              <w:t xml:space="preserve"> </w:t>
            </w:r>
          </w:p>
          <w:p w:rsidR="001C336F" w:rsidRDefault="00C657BF">
            <w:pPr>
              <w:spacing w:after="0" w:line="259" w:lineRule="auto"/>
              <w:ind w:left="122" w:right="0" w:firstLine="0"/>
              <w:jc w:val="left"/>
            </w:pPr>
            <w:r>
              <w:rPr>
                <w:b/>
                <w:sz w:val="24"/>
              </w:rPr>
              <w:t xml:space="preserve"> Phenotype </w:t>
            </w:r>
          </w:p>
        </w:tc>
        <w:tc>
          <w:tcPr>
            <w:tcW w:w="2288" w:type="dxa"/>
            <w:tcBorders>
              <w:top w:val="single" w:sz="4" w:space="0" w:color="000000"/>
              <w:left w:val="nil"/>
              <w:bottom w:val="single" w:sz="4" w:space="0" w:color="000000"/>
              <w:right w:val="nil"/>
            </w:tcBorders>
          </w:tcPr>
          <w:p w:rsidR="001C336F" w:rsidRDefault="001C336F">
            <w:pPr>
              <w:spacing w:after="160" w:line="259" w:lineRule="auto"/>
              <w:ind w:left="0" w:right="0" w:firstLine="0"/>
              <w:jc w:val="left"/>
            </w:pPr>
          </w:p>
        </w:tc>
        <w:tc>
          <w:tcPr>
            <w:tcW w:w="3147" w:type="dxa"/>
            <w:tcBorders>
              <w:top w:val="single" w:sz="4" w:space="0" w:color="000000"/>
              <w:left w:val="nil"/>
              <w:bottom w:val="single" w:sz="4" w:space="0" w:color="000000"/>
              <w:right w:val="nil"/>
            </w:tcBorders>
          </w:tcPr>
          <w:p w:rsidR="001C336F" w:rsidRDefault="00C657BF">
            <w:pPr>
              <w:spacing w:after="0" w:line="259" w:lineRule="auto"/>
              <w:ind w:left="0" w:right="0" w:firstLine="0"/>
              <w:jc w:val="left"/>
            </w:pPr>
            <w:r>
              <w:rPr>
                <w:b/>
                <w:sz w:val="24"/>
              </w:rPr>
              <w:t xml:space="preserve">Site </w:t>
            </w:r>
          </w:p>
        </w:tc>
      </w:tr>
      <w:tr w:rsidR="001C336F">
        <w:trPr>
          <w:trHeight w:val="295"/>
        </w:trPr>
        <w:tc>
          <w:tcPr>
            <w:tcW w:w="0" w:type="auto"/>
            <w:vMerge/>
            <w:tcBorders>
              <w:top w:val="nil"/>
              <w:left w:val="nil"/>
              <w:bottom w:val="single" w:sz="12" w:space="0" w:color="000000"/>
              <w:right w:val="nil"/>
            </w:tcBorders>
          </w:tcPr>
          <w:p w:rsidR="001C336F" w:rsidRDefault="001C336F">
            <w:pPr>
              <w:spacing w:after="160" w:line="259" w:lineRule="auto"/>
              <w:ind w:left="0" w:right="0" w:firstLine="0"/>
              <w:jc w:val="left"/>
            </w:pPr>
          </w:p>
        </w:tc>
        <w:tc>
          <w:tcPr>
            <w:tcW w:w="2288" w:type="dxa"/>
            <w:tcBorders>
              <w:top w:val="single" w:sz="4" w:space="0" w:color="000000"/>
              <w:left w:val="nil"/>
              <w:bottom w:val="single" w:sz="12" w:space="0" w:color="000000"/>
              <w:right w:val="nil"/>
            </w:tcBorders>
          </w:tcPr>
          <w:p w:rsidR="001C336F" w:rsidRDefault="00C657BF">
            <w:pPr>
              <w:spacing w:after="0" w:line="259" w:lineRule="auto"/>
              <w:ind w:left="260" w:right="0" w:firstLine="0"/>
              <w:jc w:val="left"/>
            </w:pPr>
            <w:r>
              <w:rPr>
                <w:b/>
                <w:sz w:val="24"/>
              </w:rPr>
              <w:t xml:space="preserve">Primary </w:t>
            </w:r>
          </w:p>
        </w:tc>
        <w:tc>
          <w:tcPr>
            <w:tcW w:w="3147" w:type="dxa"/>
            <w:tcBorders>
              <w:top w:val="single" w:sz="4" w:space="0" w:color="000000"/>
              <w:left w:val="nil"/>
              <w:bottom w:val="single" w:sz="12" w:space="0" w:color="000000"/>
              <w:right w:val="nil"/>
            </w:tcBorders>
          </w:tcPr>
          <w:p w:rsidR="001C336F" w:rsidRDefault="00C657BF">
            <w:pPr>
              <w:spacing w:after="0" w:line="259" w:lineRule="auto"/>
              <w:ind w:left="730" w:right="0" w:firstLine="0"/>
              <w:jc w:val="left"/>
            </w:pPr>
            <w:r>
              <w:rPr>
                <w:b/>
                <w:sz w:val="24"/>
              </w:rPr>
              <w:t xml:space="preserve">Secondary </w:t>
            </w:r>
          </w:p>
        </w:tc>
      </w:tr>
      <w:tr w:rsidR="001C336F">
        <w:trPr>
          <w:trHeight w:val="246"/>
        </w:trPr>
        <w:tc>
          <w:tcPr>
            <w:tcW w:w="7107" w:type="dxa"/>
            <w:tcBorders>
              <w:top w:val="single" w:sz="12" w:space="0" w:color="000000"/>
              <w:left w:val="nil"/>
              <w:bottom w:val="nil"/>
              <w:right w:val="nil"/>
            </w:tcBorders>
          </w:tcPr>
          <w:p w:rsidR="001C336F" w:rsidRDefault="00C657BF">
            <w:pPr>
              <w:spacing w:after="0" w:line="259" w:lineRule="auto"/>
              <w:ind w:left="218" w:right="0" w:firstLine="0"/>
              <w:jc w:val="left"/>
            </w:pPr>
            <w:r>
              <w:t xml:space="preserve">Abdominal aortic aneurysm (AAA) </w:t>
            </w:r>
          </w:p>
        </w:tc>
        <w:tc>
          <w:tcPr>
            <w:tcW w:w="2288" w:type="dxa"/>
            <w:tcBorders>
              <w:top w:val="single" w:sz="12" w:space="0" w:color="000000"/>
              <w:left w:val="nil"/>
              <w:bottom w:val="nil"/>
              <w:right w:val="nil"/>
            </w:tcBorders>
          </w:tcPr>
          <w:p w:rsidR="001C336F" w:rsidRDefault="00C657BF">
            <w:pPr>
              <w:spacing w:after="0" w:line="259" w:lineRule="auto"/>
              <w:ind w:left="279" w:right="0" w:firstLine="0"/>
              <w:jc w:val="left"/>
            </w:pPr>
            <w:r>
              <w:t xml:space="preserve">Geisinger </w:t>
            </w:r>
          </w:p>
        </w:tc>
        <w:tc>
          <w:tcPr>
            <w:tcW w:w="3147" w:type="dxa"/>
            <w:tcBorders>
              <w:top w:val="single" w:sz="12" w:space="0" w:color="000000"/>
              <w:left w:val="nil"/>
              <w:bottom w:val="nil"/>
              <w:right w:val="nil"/>
            </w:tcBorders>
          </w:tcPr>
          <w:p w:rsidR="001C336F" w:rsidRDefault="00C657BF">
            <w:pPr>
              <w:spacing w:after="0" w:line="259" w:lineRule="auto"/>
              <w:ind w:left="593" w:right="0" w:firstLine="0"/>
              <w:jc w:val="left"/>
            </w:pPr>
            <w:r>
              <w:t xml:space="preserve">Mayo, Vanderbilt </w:t>
            </w:r>
          </w:p>
        </w:tc>
      </w:tr>
      <w:tr w:rsidR="001C336F">
        <w:trPr>
          <w:trHeight w:val="230"/>
        </w:trPr>
        <w:tc>
          <w:tcPr>
            <w:tcW w:w="7107" w:type="dxa"/>
            <w:tcBorders>
              <w:top w:val="nil"/>
              <w:left w:val="nil"/>
              <w:bottom w:val="nil"/>
              <w:right w:val="nil"/>
            </w:tcBorders>
          </w:tcPr>
          <w:p w:rsidR="001C336F" w:rsidRDefault="00C657BF">
            <w:pPr>
              <w:spacing w:after="0" w:line="259" w:lineRule="auto"/>
              <w:ind w:left="218" w:right="0" w:firstLine="0"/>
              <w:jc w:val="left"/>
            </w:pPr>
            <w:proofErr w:type="spellStart"/>
            <w:r>
              <w:t>buGWAS</w:t>
            </w:r>
            <w:proofErr w:type="spellEnd"/>
            <w:r>
              <w:t xml:space="preserve">: </w:t>
            </w:r>
            <w:r>
              <w:rPr>
                <w:i/>
              </w:rPr>
              <w:t>Clostridium difficile</w:t>
            </w:r>
            <w:r>
              <w:t xml:space="preserve"> </w:t>
            </w:r>
          </w:p>
        </w:tc>
        <w:tc>
          <w:tcPr>
            <w:tcW w:w="2288" w:type="dxa"/>
            <w:tcBorders>
              <w:top w:val="nil"/>
              <w:left w:val="nil"/>
              <w:bottom w:val="nil"/>
              <w:right w:val="nil"/>
            </w:tcBorders>
          </w:tcPr>
          <w:p w:rsidR="001C336F" w:rsidRDefault="00C657BF">
            <w:pPr>
              <w:spacing w:after="0" w:line="259" w:lineRule="auto"/>
              <w:ind w:left="110" w:right="0" w:firstLine="0"/>
              <w:jc w:val="left"/>
            </w:pPr>
            <w:r>
              <w:t xml:space="preserve">Group Health </w:t>
            </w:r>
          </w:p>
        </w:tc>
        <w:tc>
          <w:tcPr>
            <w:tcW w:w="3147" w:type="dxa"/>
            <w:tcBorders>
              <w:top w:val="nil"/>
              <w:left w:val="nil"/>
              <w:bottom w:val="nil"/>
              <w:right w:val="nil"/>
            </w:tcBorders>
          </w:tcPr>
          <w:p w:rsidR="001C336F" w:rsidRDefault="00C657BF">
            <w:pPr>
              <w:spacing w:after="0" w:line="259" w:lineRule="auto"/>
              <w:ind w:left="242" w:right="0" w:firstLine="0"/>
              <w:jc w:val="left"/>
            </w:pPr>
            <w:r>
              <w:t xml:space="preserve">Northwestern, Vanderbilt </w:t>
            </w:r>
          </w:p>
        </w:tc>
      </w:tr>
      <w:tr w:rsidR="001C336F">
        <w:trPr>
          <w:trHeight w:val="229"/>
        </w:trPr>
        <w:tc>
          <w:tcPr>
            <w:tcW w:w="7107" w:type="dxa"/>
            <w:tcBorders>
              <w:top w:val="nil"/>
              <w:left w:val="nil"/>
              <w:bottom w:val="nil"/>
              <w:right w:val="nil"/>
            </w:tcBorders>
          </w:tcPr>
          <w:p w:rsidR="001C336F" w:rsidRDefault="00C657BF">
            <w:pPr>
              <w:spacing w:after="0" w:line="259" w:lineRule="auto"/>
              <w:ind w:left="218" w:right="0" w:firstLine="0"/>
              <w:jc w:val="left"/>
            </w:pPr>
            <w:r>
              <w:t xml:space="preserve">Cardiorespiratory fitness (CRF) </w:t>
            </w:r>
          </w:p>
        </w:tc>
        <w:tc>
          <w:tcPr>
            <w:tcW w:w="2288" w:type="dxa"/>
            <w:tcBorders>
              <w:top w:val="nil"/>
              <w:left w:val="nil"/>
              <w:bottom w:val="nil"/>
              <w:right w:val="nil"/>
            </w:tcBorders>
          </w:tcPr>
          <w:p w:rsidR="001C336F" w:rsidRDefault="00C657BF">
            <w:pPr>
              <w:spacing w:after="0" w:line="259" w:lineRule="auto"/>
              <w:ind w:left="461" w:right="0" w:firstLine="0"/>
              <w:jc w:val="left"/>
            </w:pPr>
            <w:r>
              <w:t xml:space="preserve">Mayo </w:t>
            </w:r>
          </w:p>
        </w:tc>
        <w:tc>
          <w:tcPr>
            <w:tcW w:w="3147" w:type="dxa"/>
            <w:tcBorders>
              <w:top w:val="nil"/>
              <w:left w:val="nil"/>
              <w:bottom w:val="nil"/>
              <w:right w:val="nil"/>
            </w:tcBorders>
          </w:tcPr>
          <w:p w:rsidR="001C336F" w:rsidRDefault="00C657BF">
            <w:pPr>
              <w:spacing w:after="0" w:line="259" w:lineRule="auto"/>
              <w:ind w:left="410" w:right="0" w:firstLine="0"/>
              <w:jc w:val="left"/>
            </w:pPr>
            <w:r>
              <w:t xml:space="preserve">Geisinger, Vanderbilt </w:t>
            </w:r>
          </w:p>
        </w:tc>
      </w:tr>
      <w:tr w:rsidR="001C336F">
        <w:trPr>
          <w:trHeight w:val="230"/>
        </w:trPr>
        <w:tc>
          <w:tcPr>
            <w:tcW w:w="7107" w:type="dxa"/>
            <w:tcBorders>
              <w:top w:val="nil"/>
              <w:left w:val="nil"/>
              <w:bottom w:val="nil"/>
              <w:right w:val="nil"/>
            </w:tcBorders>
          </w:tcPr>
          <w:p w:rsidR="001C336F" w:rsidRDefault="00C657BF">
            <w:pPr>
              <w:spacing w:after="0" w:line="259" w:lineRule="auto"/>
              <w:ind w:left="218" w:right="0" w:firstLine="0"/>
              <w:jc w:val="left"/>
            </w:pPr>
            <w:r>
              <w:t xml:space="preserve">Diabetes/Hypertension-associated Chronic Kidney Disease (CKD) </w:t>
            </w:r>
          </w:p>
        </w:tc>
        <w:tc>
          <w:tcPr>
            <w:tcW w:w="2288" w:type="dxa"/>
            <w:tcBorders>
              <w:top w:val="nil"/>
              <w:left w:val="nil"/>
              <w:bottom w:val="nil"/>
              <w:right w:val="nil"/>
            </w:tcBorders>
          </w:tcPr>
          <w:p w:rsidR="001C336F" w:rsidRDefault="00C657BF">
            <w:pPr>
              <w:spacing w:after="0" w:line="259" w:lineRule="auto"/>
              <w:ind w:left="178" w:right="0" w:firstLine="0"/>
              <w:jc w:val="left"/>
            </w:pPr>
            <w:r>
              <w:t xml:space="preserve">Mount Sinai </w:t>
            </w:r>
          </w:p>
        </w:tc>
        <w:tc>
          <w:tcPr>
            <w:tcW w:w="3147" w:type="dxa"/>
            <w:tcBorders>
              <w:top w:val="nil"/>
              <w:left w:val="nil"/>
              <w:bottom w:val="nil"/>
              <w:right w:val="nil"/>
            </w:tcBorders>
          </w:tcPr>
          <w:p w:rsidR="001C336F" w:rsidRDefault="00C657BF">
            <w:pPr>
              <w:spacing w:after="0" w:line="259" w:lineRule="auto"/>
              <w:ind w:left="233" w:right="0" w:firstLine="0"/>
              <w:jc w:val="left"/>
            </w:pPr>
            <w:r>
              <w:t xml:space="preserve">Marshfield, Northwestern </w:t>
            </w:r>
          </w:p>
        </w:tc>
      </w:tr>
      <w:tr w:rsidR="001C336F">
        <w:trPr>
          <w:trHeight w:val="231"/>
        </w:trPr>
        <w:tc>
          <w:tcPr>
            <w:tcW w:w="7107" w:type="dxa"/>
            <w:tcBorders>
              <w:top w:val="nil"/>
              <w:left w:val="nil"/>
              <w:bottom w:val="nil"/>
              <w:right w:val="nil"/>
            </w:tcBorders>
          </w:tcPr>
          <w:p w:rsidR="001C336F" w:rsidRDefault="00C657BF">
            <w:pPr>
              <w:spacing w:after="0" w:line="259" w:lineRule="auto"/>
              <w:ind w:left="218" w:right="0" w:firstLine="0"/>
              <w:jc w:val="left"/>
            </w:pPr>
            <w:r>
              <w:t xml:space="preserve">Lower GI (non-syndromic polyps) </w:t>
            </w:r>
          </w:p>
        </w:tc>
        <w:tc>
          <w:tcPr>
            <w:tcW w:w="2288" w:type="dxa"/>
            <w:tcBorders>
              <w:top w:val="nil"/>
              <w:left w:val="nil"/>
              <w:bottom w:val="nil"/>
              <w:right w:val="nil"/>
            </w:tcBorders>
          </w:tcPr>
          <w:p w:rsidR="001C336F" w:rsidRDefault="00C657BF">
            <w:pPr>
              <w:spacing w:after="0" w:line="259" w:lineRule="auto"/>
              <w:ind w:left="110" w:right="0" w:firstLine="0"/>
              <w:jc w:val="left"/>
            </w:pPr>
            <w:r>
              <w:t xml:space="preserve">Northwestern </w:t>
            </w:r>
          </w:p>
        </w:tc>
        <w:tc>
          <w:tcPr>
            <w:tcW w:w="3147" w:type="dxa"/>
            <w:tcBorders>
              <w:top w:val="nil"/>
              <w:left w:val="nil"/>
              <w:bottom w:val="nil"/>
              <w:right w:val="nil"/>
            </w:tcBorders>
          </w:tcPr>
          <w:p w:rsidR="001C336F" w:rsidRDefault="00C657BF">
            <w:pPr>
              <w:spacing w:after="0" w:line="259" w:lineRule="auto"/>
              <w:ind w:left="893" w:right="0" w:firstLine="0"/>
              <w:jc w:val="left"/>
            </w:pPr>
            <w:r>
              <w:t xml:space="preserve">Vanderbilt </w:t>
            </w:r>
          </w:p>
        </w:tc>
      </w:tr>
      <w:tr w:rsidR="001C336F">
        <w:trPr>
          <w:trHeight w:val="231"/>
        </w:trPr>
        <w:tc>
          <w:tcPr>
            <w:tcW w:w="7107" w:type="dxa"/>
            <w:tcBorders>
              <w:top w:val="nil"/>
              <w:left w:val="nil"/>
              <w:bottom w:val="nil"/>
              <w:right w:val="nil"/>
            </w:tcBorders>
          </w:tcPr>
          <w:p w:rsidR="001C336F" w:rsidRDefault="00C657BF">
            <w:pPr>
              <w:spacing w:after="0" w:line="259" w:lineRule="auto"/>
              <w:ind w:left="218" w:right="0" w:firstLine="0"/>
              <w:jc w:val="left"/>
            </w:pPr>
            <w:r>
              <w:t xml:space="preserve">Ocular Hypertension and response to medication </w:t>
            </w:r>
          </w:p>
        </w:tc>
        <w:tc>
          <w:tcPr>
            <w:tcW w:w="2288" w:type="dxa"/>
            <w:tcBorders>
              <w:top w:val="nil"/>
              <w:left w:val="nil"/>
              <w:bottom w:val="nil"/>
              <w:right w:val="nil"/>
            </w:tcBorders>
          </w:tcPr>
          <w:p w:rsidR="001C336F" w:rsidRDefault="00C657BF">
            <w:pPr>
              <w:spacing w:after="0" w:line="259" w:lineRule="auto"/>
              <w:ind w:left="245" w:right="0" w:firstLine="0"/>
              <w:jc w:val="left"/>
            </w:pPr>
            <w:r>
              <w:t xml:space="preserve">Marshfield </w:t>
            </w:r>
          </w:p>
        </w:tc>
        <w:tc>
          <w:tcPr>
            <w:tcW w:w="3147" w:type="dxa"/>
            <w:tcBorders>
              <w:top w:val="nil"/>
              <w:left w:val="nil"/>
              <w:bottom w:val="nil"/>
              <w:right w:val="nil"/>
            </w:tcBorders>
          </w:tcPr>
          <w:p w:rsidR="001C336F" w:rsidRDefault="00C657BF">
            <w:pPr>
              <w:spacing w:after="0" w:line="259" w:lineRule="auto"/>
              <w:ind w:left="264" w:right="0" w:firstLine="0"/>
              <w:jc w:val="left"/>
            </w:pPr>
            <w:r>
              <w:t xml:space="preserve">Geisinger, Group Health </w:t>
            </w:r>
          </w:p>
        </w:tc>
      </w:tr>
      <w:tr w:rsidR="001C336F">
        <w:trPr>
          <w:trHeight w:val="230"/>
        </w:trPr>
        <w:tc>
          <w:tcPr>
            <w:tcW w:w="7107" w:type="dxa"/>
            <w:tcBorders>
              <w:top w:val="nil"/>
              <w:left w:val="nil"/>
              <w:bottom w:val="nil"/>
              <w:right w:val="nil"/>
            </w:tcBorders>
          </w:tcPr>
          <w:p w:rsidR="001C336F" w:rsidRDefault="00C657BF">
            <w:pPr>
              <w:spacing w:after="0" w:line="259" w:lineRule="auto"/>
              <w:ind w:left="218" w:right="0" w:firstLine="0"/>
              <w:jc w:val="left"/>
            </w:pPr>
            <w:r>
              <w:t xml:space="preserve">ACEI cough </w:t>
            </w:r>
          </w:p>
        </w:tc>
        <w:tc>
          <w:tcPr>
            <w:tcW w:w="2288" w:type="dxa"/>
            <w:tcBorders>
              <w:top w:val="nil"/>
              <w:left w:val="nil"/>
              <w:bottom w:val="nil"/>
              <w:right w:val="nil"/>
            </w:tcBorders>
          </w:tcPr>
          <w:p w:rsidR="001C336F" w:rsidRDefault="00C657BF">
            <w:pPr>
              <w:spacing w:after="0" w:line="259" w:lineRule="auto"/>
              <w:ind w:left="257" w:right="0" w:firstLine="0"/>
              <w:jc w:val="left"/>
            </w:pPr>
            <w:r>
              <w:t xml:space="preserve">Vanderbilt </w:t>
            </w:r>
          </w:p>
        </w:tc>
        <w:tc>
          <w:tcPr>
            <w:tcW w:w="3147" w:type="dxa"/>
            <w:tcBorders>
              <w:top w:val="nil"/>
              <w:left w:val="nil"/>
              <w:bottom w:val="nil"/>
              <w:right w:val="nil"/>
            </w:tcBorders>
          </w:tcPr>
          <w:p w:rsidR="001C336F" w:rsidRDefault="00C657BF">
            <w:pPr>
              <w:spacing w:after="0" w:line="259" w:lineRule="auto"/>
              <w:ind w:left="98" w:right="0" w:firstLine="0"/>
              <w:jc w:val="left"/>
            </w:pPr>
            <w:r>
              <w:t xml:space="preserve">Northwestern, Group Health </w:t>
            </w:r>
          </w:p>
        </w:tc>
      </w:tr>
      <w:tr w:rsidR="001C336F">
        <w:trPr>
          <w:trHeight w:val="229"/>
        </w:trPr>
        <w:tc>
          <w:tcPr>
            <w:tcW w:w="7107" w:type="dxa"/>
            <w:tcBorders>
              <w:top w:val="nil"/>
              <w:left w:val="nil"/>
              <w:bottom w:val="nil"/>
              <w:right w:val="nil"/>
            </w:tcBorders>
          </w:tcPr>
          <w:p w:rsidR="001C336F" w:rsidRDefault="00C657BF">
            <w:pPr>
              <w:spacing w:after="0" w:line="259" w:lineRule="auto"/>
              <w:ind w:left="218" w:right="0" w:firstLine="0"/>
              <w:jc w:val="left"/>
            </w:pPr>
            <w:r>
              <w:t xml:space="preserve">Lipids </w:t>
            </w:r>
          </w:p>
        </w:tc>
        <w:tc>
          <w:tcPr>
            <w:tcW w:w="2288" w:type="dxa"/>
            <w:tcBorders>
              <w:top w:val="nil"/>
              <w:left w:val="nil"/>
              <w:bottom w:val="nil"/>
              <w:right w:val="nil"/>
            </w:tcBorders>
          </w:tcPr>
          <w:p w:rsidR="001C336F" w:rsidRDefault="00C657BF">
            <w:pPr>
              <w:spacing w:after="0" w:line="259" w:lineRule="auto"/>
              <w:ind w:left="418" w:right="0" w:firstLine="0"/>
              <w:jc w:val="left"/>
            </w:pPr>
            <w:r>
              <w:t xml:space="preserve">CHOP </w:t>
            </w:r>
          </w:p>
        </w:tc>
        <w:tc>
          <w:tcPr>
            <w:tcW w:w="3147" w:type="dxa"/>
            <w:tcBorders>
              <w:top w:val="nil"/>
              <w:left w:val="nil"/>
              <w:bottom w:val="nil"/>
              <w:right w:val="nil"/>
            </w:tcBorders>
          </w:tcPr>
          <w:p w:rsidR="001C336F" w:rsidRDefault="00C657BF">
            <w:pPr>
              <w:spacing w:after="0" w:line="259" w:lineRule="auto"/>
              <w:ind w:left="1316" w:right="0" w:firstLine="0"/>
              <w:jc w:val="left"/>
            </w:pPr>
            <w:r>
              <w:t xml:space="preserve">  </w:t>
            </w:r>
          </w:p>
        </w:tc>
      </w:tr>
      <w:tr w:rsidR="001C336F">
        <w:trPr>
          <w:trHeight w:val="344"/>
        </w:trPr>
        <w:tc>
          <w:tcPr>
            <w:tcW w:w="7107" w:type="dxa"/>
            <w:tcBorders>
              <w:top w:val="nil"/>
              <w:left w:val="nil"/>
              <w:bottom w:val="nil"/>
              <w:right w:val="nil"/>
            </w:tcBorders>
          </w:tcPr>
          <w:p w:rsidR="001C336F" w:rsidRDefault="00C657BF">
            <w:pPr>
              <w:spacing w:after="0" w:line="259" w:lineRule="auto"/>
              <w:ind w:left="218" w:right="0" w:firstLine="0"/>
              <w:jc w:val="left"/>
            </w:pPr>
            <w:r>
              <w:t xml:space="preserve">Childhood Obesity </w:t>
            </w:r>
          </w:p>
        </w:tc>
        <w:tc>
          <w:tcPr>
            <w:tcW w:w="2288" w:type="dxa"/>
            <w:tcBorders>
              <w:top w:val="nil"/>
              <w:left w:val="nil"/>
              <w:bottom w:val="nil"/>
              <w:right w:val="nil"/>
            </w:tcBorders>
          </w:tcPr>
          <w:p w:rsidR="001C336F" w:rsidRDefault="00C657BF">
            <w:pPr>
              <w:spacing w:after="0" w:line="259" w:lineRule="auto"/>
              <w:ind w:left="0" w:right="0" w:firstLine="0"/>
              <w:jc w:val="left"/>
            </w:pPr>
            <w:r>
              <w:t xml:space="preserve">CCHMC &amp; BCH </w:t>
            </w:r>
          </w:p>
        </w:tc>
        <w:tc>
          <w:tcPr>
            <w:tcW w:w="3147" w:type="dxa"/>
            <w:tcBorders>
              <w:top w:val="nil"/>
              <w:left w:val="nil"/>
              <w:bottom w:val="nil"/>
              <w:right w:val="nil"/>
            </w:tcBorders>
          </w:tcPr>
          <w:p w:rsidR="001C336F" w:rsidRDefault="00C657BF">
            <w:pPr>
              <w:spacing w:after="0" w:line="259" w:lineRule="auto"/>
              <w:ind w:left="1316" w:right="0" w:firstLine="0"/>
              <w:jc w:val="left"/>
            </w:pPr>
            <w:r>
              <w:t xml:space="preserve">  </w:t>
            </w:r>
          </w:p>
        </w:tc>
      </w:tr>
      <w:tr w:rsidR="001C336F">
        <w:trPr>
          <w:trHeight w:val="346"/>
        </w:trPr>
        <w:tc>
          <w:tcPr>
            <w:tcW w:w="7107" w:type="dxa"/>
            <w:tcBorders>
              <w:top w:val="nil"/>
              <w:left w:val="nil"/>
              <w:bottom w:val="nil"/>
              <w:right w:val="nil"/>
            </w:tcBorders>
          </w:tcPr>
          <w:p w:rsidR="001C336F" w:rsidRDefault="00C657BF">
            <w:pPr>
              <w:spacing w:after="0" w:line="259" w:lineRule="auto"/>
              <w:ind w:left="218" w:right="0" w:firstLine="0"/>
              <w:jc w:val="left"/>
            </w:pPr>
            <w:r>
              <w:t xml:space="preserve"> </w:t>
            </w:r>
          </w:p>
          <w:p w:rsidR="001C336F" w:rsidRDefault="00C657BF">
            <w:pPr>
              <w:spacing w:after="0" w:line="259" w:lineRule="auto"/>
              <w:ind w:left="218" w:right="0" w:firstLine="0"/>
              <w:jc w:val="left"/>
            </w:pPr>
            <w:r>
              <w:t xml:space="preserve">Extreme Obesity (BMI) </w:t>
            </w:r>
          </w:p>
        </w:tc>
        <w:tc>
          <w:tcPr>
            <w:tcW w:w="2288" w:type="dxa"/>
            <w:tcBorders>
              <w:top w:val="nil"/>
              <w:left w:val="nil"/>
              <w:bottom w:val="nil"/>
              <w:right w:val="nil"/>
            </w:tcBorders>
          </w:tcPr>
          <w:p w:rsidR="001C336F" w:rsidRDefault="00C657BF">
            <w:pPr>
              <w:spacing w:after="0" w:line="259" w:lineRule="auto"/>
              <w:ind w:left="706" w:right="0" w:firstLine="0"/>
              <w:jc w:val="left"/>
            </w:pPr>
            <w:r>
              <w:t xml:space="preserve"> </w:t>
            </w:r>
          </w:p>
          <w:p w:rsidR="001C336F" w:rsidRDefault="00C657BF">
            <w:pPr>
              <w:spacing w:after="0" w:line="259" w:lineRule="auto"/>
              <w:ind w:left="279" w:right="0" w:firstLine="0"/>
              <w:jc w:val="left"/>
            </w:pPr>
            <w:r>
              <w:t xml:space="preserve">Geisinger </w:t>
            </w:r>
          </w:p>
        </w:tc>
        <w:tc>
          <w:tcPr>
            <w:tcW w:w="3147" w:type="dxa"/>
            <w:tcBorders>
              <w:top w:val="nil"/>
              <w:left w:val="nil"/>
              <w:bottom w:val="nil"/>
              <w:right w:val="nil"/>
            </w:tcBorders>
          </w:tcPr>
          <w:p w:rsidR="001C336F" w:rsidRDefault="00C657BF">
            <w:pPr>
              <w:spacing w:after="0" w:line="259" w:lineRule="auto"/>
              <w:ind w:left="101" w:right="0" w:firstLine="0"/>
              <w:jc w:val="center"/>
            </w:pPr>
            <w:r>
              <w:t xml:space="preserve"> </w:t>
            </w:r>
          </w:p>
          <w:p w:rsidR="001C336F" w:rsidRDefault="00C657BF">
            <w:pPr>
              <w:spacing w:after="0" w:line="259" w:lineRule="auto"/>
              <w:ind w:left="883" w:right="0" w:firstLine="0"/>
              <w:jc w:val="left"/>
            </w:pPr>
            <w:r>
              <w:t xml:space="preserve">Marshfield </w:t>
            </w:r>
          </w:p>
        </w:tc>
      </w:tr>
      <w:tr w:rsidR="001C336F">
        <w:trPr>
          <w:trHeight w:val="230"/>
        </w:trPr>
        <w:tc>
          <w:tcPr>
            <w:tcW w:w="7107" w:type="dxa"/>
            <w:tcBorders>
              <w:top w:val="nil"/>
              <w:left w:val="nil"/>
              <w:bottom w:val="nil"/>
              <w:right w:val="nil"/>
            </w:tcBorders>
          </w:tcPr>
          <w:p w:rsidR="001C336F" w:rsidRDefault="00C657BF">
            <w:pPr>
              <w:spacing w:after="0" w:line="259" w:lineRule="auto"/>
              <w:ind w:left="218" w:right="0" w:firstLine="0"/>
              <w:jc w:val="left"/>
            </w:pPr>
            <w:r>
              <w:t xml:space="preserve">Dose response for lipid lowering agents </w:t>
            </w:r>
          </w:p>
        </w:tc>
        <w:tc>
          <w:tcPr>
            <w:tcW w:w="2288" w:type="dxa"/>
            <w:tcBorders>
              <w:top w:val="nil"/>
              <w:left w:val="nil"/>
              <w:bottom w:val="nil"/>
              <w:right w:val="nil"/>
            </w:tcBorders>
          </w:tcPr>
          <w:p w:rsidR="001C336F" w:rsidRDefault="00C657BF">
            <w:pPr>
              <w:spacing w:after="0" w:line="259" w:lineRule="auto"/>
              <w:ind w:left="257" w:right="0" w:firstLine="0"/>
              <w:jc w:val="left"/>
            </w:pPr>
            <w:r>
              <w:t xml:space="preserve">Vanderbilt </w:t>
            </w:r>
          </w:p>
        </w:tc>
        <w:tc>
          <w:tcPr>
            <w:tcW w:w="3147" w:type="dxa"/>
            <w:tcBorders>
              <w:top w:val="nil"/>
              <w:left w:val="nil"/>
              <w:bottom w:val="nil"/>
              <w:right w:val="nil"/>
            </w:tcBorders>
          </w:tcPr>
          <w:p w:rsidR="001C336F" w:rsidRDefault="00C657BF">
            <w:pPr>
              <w:spacing w:after="0" w:line="259" w:lineRule="auto"/>
              <w:ind w:left="516" w:right="0" w:firstLine="0"/>
              <w:jc w:val="left"/>
            </w:pPr>
            <w:r>
              <w:t xml:space="preserve">Mayo, Mount Sinai </w:t>
            </w:r>
          </w:p>
        </w:tc>
      </w:tr>
      <w:tr w:rsidR="001C336F">
        <w:trPr>
          <w:trHeight w:val="230"/>
        </w:trPr>
        <w:tc>
          <w:tcPr>
            <w:tcW w:w="7107" w:type="dxa"/>
            <w:tcBorders>
              <w:top w:val="nil"/>
              <w:left w:val="nil"/>
              <w:bottom w:val="nil"/>
              <w:right w:val="nil"/>
            </w:tcBorders>
          </w:tcPr>
          <w:p w:rsidR="001C336F" w:rsidRDefault="00C657BF">
            <w:pPr>
              <w:spacing w:after="0" w:line="259" w:lineRule="auto"/>
              <w:ind w:left="218" w:right="0" w:firstLine="0"/>
              <w:jc w:val="left"/>
            </w:pPr>
            <w:r>
              <w:t xml:space="preserve">Glaucoma </w:t>
            </w:r>
          </w:p>
        </w:tc>
        <w:tc>
          <w:tcPr>
            <w:tcW w:w="2288" w:type="dxa"/>
            <w:tcBorders>
              <w:top w:val="nil"/>
              <w:left w:val="nil"/>
              <w:bottom w:val="nil"/>
              <w:right w:val="nil"/>
            </w:tcBorders>
          </w:tcPr>
          <w:p w:rsidR="001C336F" w:rsidRDefault="00C657BF">
            <w:pPr>
              <w:spacing w:after="0" w:line="259" w:lineRule="auto"/>
              <w:ind w:left="245" w:right="0" w:firstLine="0"/>
              <w:jc w:val="left"/>
            </w:pPr>
            <w:r>
              <w:t xml:space="preserve">Marshfield </w:t>
            </w:r>
          </w:p>
        </w:tc>
        <w:tc>
          <w:tcPr>
            <w:tcW w:w="3147" w:type="dxa"/>
            <w:tcBorders>
              <w:top w:val="nil"/>
              <w:left w:val="nil"/>
              <w:bottom w:val="nil"/>
              <w:right w:val="nil"/>
            </w:tcBorders>
          </w:tcPr>
          <w:p w:rsidR="001C336F" w:rsidRDefault="00C657BF">
            <w:pPr>
              <w:spacing w:after="0" w:line="259" w:lineRule="auto"/>
              <w:ind w:left="264" w:right="0" w:firstLine="0"/>
              <w:jc w:val="left"/>
            </w:pPr>
            <w:r>
              <w:t xml:space="preserve">Geisinger, Group Health </w:t>
            </w:r>
          </w:p>
        </w:tc>
      </w:tr>
      <w:tr w:rsidR="001C336F">
        <w:trPr>
          <w:trHeight w:val="229"/>
        </w:trPr>
        <w:tc>
          <w:tcPr>
            <w:tcW w:w="7107" w:type="dxa"/>
            <w:tcBorders>
              <w:top w:val="nil"/>
              <w:left w:val="nil"/>
              <w:bottom w:val="nil"/>
              <w:right w:val="nil"/>
            </w:tcBorders>
          </w:tcPr>
          <w:p w:rsidR="001C336F" w:rsidRDefault="00C657BF">
            <w:pPr>
              <w:spacing w:after="0" w:line="259" w:lineRule="auto"/>
              <w:ind w:left="218" w:right="0" w:firstLine="0"/>
              <w:jc w:val="left"/>
            </w:pPr>
            <w:r>
              <w:t xml:space="preserve">Lower GI (diverticulosis and -itis) </w:t>
            </w:r>
          </w:p>
        </w:tc>
        <w:tc>
          <w:tcPr>
            <w:tcW w:w="2288" w:type="dxa"/>
            <w:tcBorders>
              <w:top w:val="nil"/>
              <w:left w:val="nil"/>
              <w:bottom w:val="nil"/>
              <w:right w:val="nil"/>
            </w:tcBorders>
          </w:tcPr>
          <w:p w:rsidR="001C336F" w:rsidRDefault="00C657BF">
            <w:pPr>
              <w:spacing w:after="0" w:line="259" w:lineRule="auto"/>
              <w:ind w:left="110" w:right="0" w:firstLine="0"/>
              <w:jc w:val="left"/>
            </w:pPr>
            <w:r>
              <w:t xml:space="preserve">Northwestern </w:t>
            </w:r>
          </w:p>
        </w:tc>
        <w:tc>
          <w:tcPr>
            <w:tcW w:w="3147" w:type="dxa"/>
            <w:tcBorders>
              <w:top w:val="nil"/>
              <w:left w:val="nil"/>
              <w:bottom w:val="nil"/>
              <w:right w:val="nil"/>
            </w:tcBorders>
          </w:tcPr>
          <w:p w:rsidR="001C336F" w:rsidRDefault="00C657BF">
            <w:pPr>
              <w:spacing w:after="0" w:line="259" w:lineRule="auto"/>
              <w:ind w:left="377" w:right="0" w:firstLine="0"/>
              <w:jc w:val="left"/>
            </w:pPr>
            <w:r>
              <w:t xml:space="preserve">Marshfield, Vanderbilt </w:t>
            </w:r>
          </w:p>
        </w:tc>
      </w:tr>
      <w:tr w:rsidR="001C336F">
        <w:trPr>
          <w:trHeight w:val="229"/>
        </w:trPr>
        <w:tc>
          <w:tcPr>
            <w:tcW w:w="7107" w:type="dxa"/>
            <w:tcBorders>
              <w:top w:val="nil"/>
              <w:left w:val="nil"/>
              <w:bottom w:val="nil"/>
              <w:right w:val="nil"/>
            </w:tcBorders>
          </w:tcPr>
          <w:p w:rsidR="001C336F" w:rsidRDefault="00C657BF">
            <w:pPr>
              <w:spacing w:after="0" w:line="259" w:lineRule="auto"/>
              <w:ind w:left="218" w:right="0" w:firstLine="0"/>
              <w:jc w:val="left"/>
            </w:pPr>
            <w:r>
              <w:t xml:space="preserve">Drug Induced Liver Injury (DILI) </w:t>
            </w:r>
          </w:p>
        </w:tc>
        <w:tc>
          <w:tcPr>
            <w:tcW w:w="2288" w:type="dxa"/>
            <w:tcBorders>
              <w:top w:val="nil"/>
              <w:left w:val="nil"/>
              <w:bottom w:val="nil"/>
              <w:right w:val="nil"/>
            </w:tcBorders>
          </w:tcPr>
          <w:p w:rsidR="001C336F" w:rsidRDefault="00C657BF">
            <w:pPr>
              <w:spacing w:after="0" w:line="259" w:lineRule="auto"/>
              <w:ind w:left="178" w:right="0" w:firstLine="0"/>
              <w:jc w:val="left"/>
            </w:pPr>
            <w:r>
              <w:t xml:space="preserve">Mount Sinai </w:t>
            </w:r>
          </w:p>
        </w:tc>
        <w:tc>
          <w:tcPr>
            <w:tcW w:w="3147" w:type="dxa"/>
            <w:tcBorders>
              <w:top w:val="nil"/>
              <w:left w:val="nil"/>
              <w:bottom w:val="nil"/>
              <w:right w:val="nil"/>
            </w:tcBorders>
          </w:tcPr>
          <w:p w:rsidR="001C336F" w:rsidRDefault="00C657BF">
            <w:pPr>
              <w:spacing w:after="0" w:line="259" w:lineRule="auto"/>
              <w:ind w:left="581" w:right="0" w:firstLine="0"/>
              <w:jc w:val="left"/>
            </w:pPr>
            <w:r>
              <w:t xml:space="preserve">Marshfield, Mayo </w:t>
            </w:r>
          </w:p>
        </w:tc>
      </w:tr>
      <w:tr w:rsidR="001C336F">
        <w:trPr>
          <w:trHeight w:val="229"/>
        </w:trPr>
        <w:tc>
          <w:tcPr>
            <w:tcW w:w="7107" w:type="dxa"/>
            <w:tcBorders>
              <w:top w:val="nil"/>
              <w:left w:val="nil"/>
              <w:bottom w:val="nil"/>
              <w:right w:val="nil"/>
            </w:tcBorders>
          </w:tcPr>
          <w:p w:rsidR="001C336F" w:rsidRDefault="00C657BF">
            <w:pPr>
              <w:spacing w:after="0" w:line="259" w:lineRule="auto"/>
              <w:ind w:left="218" w:right="0" w:firstLine="0"/>
              <w:jc w:val="left"/>
            </w:pPr>
            <w:r>
              <w:t xml:space="preserve">Venous Thromboembolism (VTE) </w:t>
            </w:r>
          </w:p>
        </w:tc>
        <w:tc>
          <w:tcPr>
            <w:tcW w:w="2288" w:type="dxa"/>
            <w:tcBorders>
              <w:top w:val="nil"/>
              <w:left w:val="nil"/>
              <w:bottom w:val="nil"/>
              <w:right w:val="nil"/>
            </w:tcBorders>
          </w:tcPr>
          <w:p w:rsidR="001C336F" w:rsidRDefault="00C657BF">
            <w:pPr>
              <w:spacing w:after="0" w:line="259" w:lineRule="auto"/>
              <w:ind w:left="461" w:right="0" w:firstLine="0"/>
              <w:jc w:val="left"/>
            </w:pPr>
            <w:r>
              <w:t xml:space="preserve">Mayo </w:t>
            </w:r>
          </w:p>
        </w:tc>
        <w:tc>
          <w:tcPr>
            <w:tcW w:w="3147" w:type="dxa"/>
            <w:tcBorders>
              <w:top w:val="nil"/>
              <w:left w:val="nil"/>
              <w:bottom w:val="nil"/>
              <w:right w:val="nil"/>
            </w:tcBorders>
          </w:tcPr>
          <w:p w:rsidR="001C336F" w:rsidRDefault="00C657BF">
            <w:pPr>
              <w:spacing w:after="0" w:line="259" w:lineRule="auto"/>
              <w:ind w:left="893" w:right="0" w:firstLine="0"/>
              <w:jc w:val="left"/>
            </w:pPr>
            <w:r>
              <w:t xml:space="preserve">Vanderbilt </w:t>
            </w:r>
          </w:p>
        </w:tc>
      </w:tr>
      <w:tr w:rsidR="001C336F">
        <w:trPr>
          <w:trHeight w:val="232"/>
        </w:trPr>
        <w:tc>
          <w:tcPr>
            <w:tcW w:w="7107" w:type="dxa"/>
            <w:tcBorders>
              <w:top w:val="nil"/>
              <w:left w:val="nil"/>
              <w:bottom w:val="nil"/>
              <w:right w:val="nil"/>
            </w:tcBorders>
          </w:tcPr>
          <w:p w:rsidR="001C336F" w:rsidRDefault="00C657BF">
            <w:pPr>
              <w:spacing w:after="0" w:line="259" w:lineRule="auto"/>
              <w:ind w:left="218" w:right="0" w:firstLine="0"/>
              <w:jc w:val="left"/>
            </w:pPr>
            <w:proofErr w:type="spellStart"/>
            <w:r>
              <w:t>buGWAS</w:t>
            </w:r>
            <w:proofErr w:type="spellEnd"/>
            <w:r>
              <w:t xml:space="preserve">: </w:t>
            </w:r>
            <w:proofErr w:type="spellStart"/>
            <w:r>
              <w:t>onychomychosis</w:t>
            </w:r>
            <w:proofErr w:type="spellEnd"/>
            <w:r>
              <w:t xml:space="preserve"> (</w:t>
            </w:r>
            <w:r>
              <w:rPr>
                <w:i/>
              </w:rPr>
              <w:t xml:space="preserve">Tinea </w:t>
            </w:r>
            <w:proofErr w:type="spellStart"/>
            <w:r>
              <w:rPr>
                <w:i/>
              </w:rPr>
              <w:t>unguium</w:t>
            </w:r>
            <w:proofErr w:type="spellEnd"/>
            <w:r>
              <w:t xml:space="preserve">) </w:t>
            </w:r>
          </w:p>
        </w:tc>
        <w:tc>
          <w:tcPr>
            <w:tcW w:w="2288" w:type="dxa"/>
            <w:tcBorders>
              <w:top w:val="nil"/>
              <w:left w:val="nil"/>
              <w:bottom w:val="nil"/>
              <w:right w:val="nil"/>
            </w:tcBorders>
          </w:tcPr>
          <w:p w:rsidR="001C336F" w:rsidRDefault="00C657BF">
            <w:pPr>
              <w:spacing w:after="0" w:line="259" w:lineRule="auto"/>
              <w:ind w:left="110" w:right="0" w:firstLine="0"/>
              <w:jc w:val="left"/>
            </w:pPr>
            <w:r>
              <w:t xml:space="preserve">Group Health </w:t>
            </w:r>
          </w:p>
        </w:tc>
        <w:tc>
          <w:tcPr>
            <w:tcW w:w="3147" w:type="dxa"/>
            <w:tcBorders>
              <w:top w:val="nil"/>
              <w:left w:val="nil"/>
              <w:bottom w:val="nil"/>
              <w:right w:val="nil"/>
            </w:tcBorders>
          </w:tcPr>
          <w:p w:rsidR="001C336F" w:rsidRDefault="00C657BF">
            <w:pPr>
              <w:spacing w:after="0" w:line="259" w:lineRule="auto"/>
              <w:ind w:left="883" w:right="0" w:firstLine="0"/>
              <w:jc w:val="left"/>
            </w:pPr>
            <w:r>
              <w:t xml:space="preserve">Marshfield </w:t>
            </w:r>
          </w:p>
        </w:tc>
      </w:tr>
      <w:tr w:rsidR="001C336F">
        <w:trPr>
          <w:trHeight w:val="231"/>
        </w:trPr>
        <w:tc>
          <w:tcPr>
            <w:tcW w:w="7107" w:type="dxa"/>
            <w:tcBorders>
              <w:top w:val="nil"/>
              <w:left w:val="nil"/>
              <w:bottom w:val="nil"/>
              <w:right w:val="nil"/>
            </w:tcBorders>
          </w:tcPr>
          <w:p w:rsidR="001C336F" w:rsidRDefault="00C657BF">
            <w:pPr>
              <w:spacing w:after="0" w:line="259" w:lineRule="auto"/>
              <w:ind w:left="218" w:right="0" w:firstLine="0"/>
              <w:jc w:val="left"/>
            </w:pPr>
            <w:r>
              <w:t xml:space="preserve">Autism Spectrum Disorder </w:t>
            </w:r>
          </w:p>
        </w:tc>
        <w:tc>
          <w:tcPr>
            <w:tcW w:w="2288" w:type="dxa"/>
            <w:tcBorders>
              <w:top w:val="nil"/>
              <w:left w:val="nil"/>
              <w:bottom w:val="nil"/>
              <w:right w:val="nil"/>
            </w:tcBorders>
          </w:tcPr>
          <w:p w:rsidR="001C336F" w:rsidRDefault="00C657BF">
            <w:pPr>
              <w:spacing w:after="0" w:line="259" w:lineRule="auto"/>
              <w:ind w:left="0" w:right="0" w:firstLine="0"/>
              <w:jc w:val="left"/>
            </w:pPr>
            <w:r>
              <w:t xml:space="preserve">CCHMC &amp; BCH </w:t>
            </w:r>
          </w:p>
        </w:tc>
        <w:tc>
          <w:tcPr>
            <w:tcW w:w="3147" w:type="dxa"/>
            <w:tcBorders>
              <w:top w:val="nil"/>
              <w:left w:val="nil"/>
              <w:bottom w:val="nil"/>
              <w:right w:val="nil"/>
            </w:tcBorders>
          </w:tcPr>
          <w:p w:rsidR="001C336F" w:rsidRDefault="00C657BF">
            <w:pPr>
              <w:spacing w:after="0" w:line="259" w:lineRule="auto"/>
              <w:ind w:left="1316" w:right="0" w:firstLine="0"/>
              <w:jc w:val="left"/>
            </w:pPr>
            <w:r>
              <w:t xml:space="preserve">  </w:t>
            </w:r>
          </w:p>
        </w:tc>
      </w:tr>
      <w:tr w:rsidR="001C336F">
        <w:trPr>
          <w:trHeight w:val="343"/>
        </w:trPr>
        <w:tc>
          <w:tcPr>
            <w:tcW w:w="7107" w:type="dxa"/>
            <w:tcBorders>
              <w:top w:val="nil"/>
              <w:left w:val="nil"/>
              <w:bottom w:val="nil"/>
              <w:right w:val="nil"/>
            </w:tcBorders>
            <w:vAlign w:val="bottom"/>
          </w:tcPr>
          <w:p w:rsidR="001C336F" w:rsidRDefault="00C657BF">
            <w:pPr>
              <w:spacing w:after="0" w:line="259" w:lineRule="auto"/>
              <w:ind w:left="218" w:right="0" w:firstLine="0"/>
              <w:jc w:val="left"/>
            </w:pPr>
            <w:r>
              <w:t xml:space="preserve">Childhood Asthma </w:t>
            </w:r>
          </w:p>
          <w:p w:rsidR="001C336F" w:rsidRDefault="00C657BF">
            <w:pPr>
              <w:spacing w:after="0" w:line="259" w:lineRule="auto"/>
              <w:ind w:left="218" w:right="0" w:firstLine="0"/>
              <w:jc w:val="left"/>
            </w:pPr>
            <w:r>
              <w:t xml:space="preserve"> </w:t>
            </w:r>
          </w:p>
        </w:tc>
        <w:tc>
          <w:tcPr>
            <w:tcW w:w="2288" w:type="dxa"/>
            <w:tcBorders>
              <w:top w:val="nil"/>
              <w:left w:val="nil"/>
              <w:bottom w:val="nil"/>
              <w:right w:val="nil"/>
            </w:tcBorders>
            <w:vAlign w:val="bottom"/>
          </w:tcPr>
          <w:p w:rsidR="001C336F" w:rsidRDefault="00C657BF">
            <w:pPr>
              <w:spacing w:after="0" w:line="259" w:lineRule="auto"/>
              <w:ind w:left="418" w:right="0" w:firstLine="0"/>
              <w:jc w:val="left"/>
            </w:pPr>
            <w:r>
              <w:t xml:space="preserve">CHOP </w:t>
            </w:r>
          </w:p>
          <w:p w:rsidR="001C336F" w:rsidRDefault="00C657BF">
            <w:pPr>
              <w:spacing w:after="0" w:line="259" w:lineRule="auto"/>
              <w:ind w:left="706" w:right="0" w:firstLine="0"/>
              <w:jc w:val="left"/>
            </w:pPr>
            <w:r>
              <w:t xml:space="preserve"> </w:t>
            </w:r>
          </w:p>
        </w:tc>
        <w:tc>
          <w:tcPr>
            <w:tcW w:w="3147" w:type="dxa"/>
            <w:tcBorders>
              <w:top w:val="nil"/>
              <w:left w:val="nil"/>
              <w:bottom w:val="nil"/>
              <w:right w:val="nil"/>
            </w:tcBorders>
            <w:vAlign w:val="bottom"/>
          </w:tcPr>
          <w:p w:rsidR="001C336F" w:rsidRDefault="00C657BF">
            <w:pPr>
              <w:spacing w:after="0" w:line="259" w:lineRule="auto"/>
              <w:ind w:left="1316" w:right="1217" w:firstLine="0"/>
            </w:pPr>
            <w:r>
              <w:t xml:space="preserve">   </w:t>
            </w:r>
          </w:p>
        </w:tc>
      </w:tr>
      <w:tr w:rsidR="001C336F">
        <w:trPr>
          <w:trHeight w:val="346"/>
        </w:trPr>
        <w:tc>
          <w:tcPr>
            <w:tcW w:w="7107" w:type="dxa"/>
            <w:tcBorders>
              <w:top w:val="nil"/>
              <w:left w:val="nil"/>
              <w:bottom w:val="nil"/>
              <w:right w:val="nil"/>
            </w:tcBorders>
            <w:vAlign w:val="bottom"/>
          </w:tcPr>
          <w:p w:rsidR="001C336F" w:rsidRDefault="00C657BF">
            <w:pPr>
              <w:spacing w:after="0" w:line="259" w:lineRule="auto"/>
              <w:ind w:left="218" w:right="0" w:firstLine="0"/>
              <w:jc w:val="left"/>
            </w:pPr>
            <w:proofErr w:type="spellStart"/>
            <w:r>
              <w:t>buGWAS</w:t>
            </w:r>
            <w:proofErr w:type="spellEnd"/>
            <w:r>
              <w:t>: shingles (</w:t>
            </w:r>
            <w:r>
              <w:rPr>
                <w:i/>
              </w:rPr>
              <w:t>Varicella zoster</w:t>
            </w:r>
            <w:r>
              <w:t xml:space="preserve">) </w:t>
            </w:r>
          </w:p>
        </w:tc>
        <w:tc>
          <w:tcPr>
            <w:tcW w:w="2288" w:type="dxa"/>
            <w:tcBorders>
              <w:top w:val="nil"/>
              <w:left w:val="nil"/>
              <w:bottom w:val="nil"/>
              <w:right w:val="nil"/>
            </w:tcBorders>
            <w:vAlign w:val="bottom"/>
          </w:tcPr>
          <w:p w:rsidR="001C336F" w:rsidRDefault="00C657BF">
            <w:pPr>
              <w:spacing w:after="0" w:line="259" w:lineRule="auto"/>
              <w:ind w:left="110" w:right="0" w:firstLine="0"/>
              <w:jc w:val="left"/>
            </w:pPr>
            <w:r>
              <w:t xml:space="preserve">Group Health </w:t>
            </w:r>
          </w:p>
        </w:tc>
        <w:tc>
          <w:tcPr>
            <w:tcW w:w="3147" w:type="dxa"/>
            <w:tcBorders>
              <w:top w:val="nil"/>
              <w:left w:val="nil"/>
              <w:bottom w:val="nil"/>
              <w:right w:val="nil"/>
            </w:tcBorders>
            <w:vAlign w:val="bottom"/>
          </w:tcPr>
          <w:p w:rsidR="001C336F" w:rsidRDefault="00C657BF">
            <w:pPr>
              <w:spacing w:after="0" w:line="259" w:lineRule="auto"/>
              <w:ind w:left="893" w:right="0" w:firstLine="0"/>
              <w:jc w:val="left"/>
            </w:pPr>
            <w:r>
              <w:t xml:space="preserve">Vanderbilt </w:t>
            </w:r>
          </w:p>
        </w:tc>
      </w:tr>
      <w:tr w:rsidR="001C336F">
        <w:trPr>
          <w:trHeight w:val="230"/>
        </w:trPr>
        <w:tc>
          <w:tcPr>
            <w:tcW w:w="7107" w:type="dxa"/>
            <w:tcBorders>
              <w:top w:val="nil"/>
              <w:left w:val="nil"/>
              <w:bottom w:val="nil"/>
              <w:right w:val="nil"/>
            </w:tcBorders>
          </w:tcPr>
          <w:p w:rsidR="001C336F" w:rsidRDefault="00C657BF">
            <w:pPr>
              <w:spacing w:after="0" w:line="259" w:lineRule="auto"/>
              <w:ind w:left="218" w:right="0" w:firstLine="0"/>
              <w:jc w:val="left"/>
            </w:pPr>
            <w:r>
              <w:t xml:space="preserve">Heart Failure </w:t>
            </w:r>
          </w:p>
        </w:tc>
        <w:tc>
          <w:tcPr>
            <w:tcW w:w="2288" w:type="dxa"/>
            <w:tcBorders>
              <w:top w:val="nil"/>
              <w:left w:val="nil"/>
              <w:bottom w:val="nil"/>
              <w:right w:val="nil"/>
            </w:tcBorders>
          </w:tcPr>
          <w:p w:rsidR="001C336F" w:rsidRDefault="00C657BF">
            <w:pPr>
              <w:spacing w:after="0" w:line="259" w:lineRule="auto"/>
              <w:ind w:left="461" w:right="0" w:firstLine="0"/>
              <w:jc w:val="left"/>
            </w:pPr>
            <w:r>
              <w:t xml:space="preserve">Mayo </w:t>
            </w:r>
          </w:p>
        </w:tc>
        <w:tc>
          <w:tcPr>
            <w:tcW w:w="3147" w:type="dxa"/>
            <w:tcBorders>
              <w:top w:val="nil"/>
              <w:left w:val="nil"/>
              <w:bottom w:val="nil"/>
              <w:right w:val="nil"/>
            </w:tcBorders>
          </w:tcPr>
          <w:p w:rsidR="001C336F" w:rsidRDefault="00C657BF">
            <w:pPr>
              <w:spacing w:after="0" w:line="259" w:lineRule="auto"/>
              <w:ind w:left="749" w:right="0" w:firstLine="0"/>
              <w:jc w:val="left"/>
            </w:pPr>
            <w:r>
              <w:t xml:space="preserve">Group Health </w:t>
            </w:r>
          </w:p>
        </w:tc>
      </w:tr>
      <w:tr w:rsidR="001C336F">
        <w:trPr>
          <w:trHeight w:val="461"/>
        </w:trPr>
        <w:tc>
          <w:tcPr>
            <w:tcW w:w="7107" w:type="dxa"/>
            <w:tcBorders>
              <w:top w:val="nil"/>
              <w:left w:val="nil"/>
              <w:bottom w:val="nil"/>
              <w:right w:val="nil"/>
            </w:tcBorders>
          </w:tcPr>
          <w:p w:rsidR="001C336F" w:rsidRDefault="00C657BF">
            <w:pPr>
              <w:spacing w:after="0" w:line="259" w:lineRule="auto"/>
              <w:ind w:left="490" w:right="0" w:hanging="272"/>
              <w:jc w:val="left"/>
            </w:pPr>
            <w:r>
              <w:t xml:space="preserve">Rapid renal decline in Diabetes/Hypertension-associated Chronic Kidney Disease (CKD) </w:t>
            </w:r>
          </w:p>
        </w:tc>
        <w:tc>
          <w:tcPr>
            <w:tcW w:w="2288" w:type="dxa"/>
            <w:tcBorders>
              <w:top w:val="nil"/>
              <w:left w:val="nil"/>
              <w:bottom w:val="nil"/>
              <w:right w:val="nil"/>
            </w:tcBorders>
          </w:tcPr>
          <w:p w:rsidR="001C336F" w:rsidRDefault="00C657BF">
            <w:pPr>
              <w:spacing w:after="0" w:line="259" w:lineRule="auto"/>
              <w:ind w:left="178" w:right="0" w:firstLine="0"/>
              <w:jc w:val="left"/>
            </w:pPr>
            <w:r>
              <w:t xml:space="preserve">Mount Sinai </w:t>
            </w:r>
          </w:p>
        </w:tc>
        <w:tc>
          <w:tcPr>
            <w:tcW w:w="3147" w:type="dxa"/>
            <w:tcBorders>
              <w:top w:val="nil"/>
              <w:left w:val="nil"/>
              <w:bottom w:val="nil"/>
              <w:right w:val="nil"/>
            </w:tcBorders>
          </w:tcPr>
          <w:p w:rsidR="001C336F" w:rsidRDefault="00C657BF">
            <w:pPr>
              <w:spacing w:after="0" w:line="259" w:lineRule="auto"/>
              <w:ind w:left="581" w:right="0" w:firstLine="0"/>
              <w:jc w:val="left"/>
            </w:pPr>
            <w:r>
              <w:t xml:space="preserve">Marshfield, Mayo </w:t>
            </w:r>
          </w:p>
        </w:tc>
      </w:tr>
      <w:tr w:rsidR="001C336F">
        <w:trPr>
          <w:trHeight w:val="229"/>
        </w:trPr>
        <w:tc>
          <w:tcPr>
            <w:tcW w:w="7107" w:type="dxa"/>
            <w:tcBorders>
              <w:top w:val="nil"/>
              <w:left w:val="nil"/>
              <w:bottom w:val="nil"/>
              <w:right w:val="nil"/>
            </w:tcBorders>
          </w:tcPr>
          <w:p w:rsidR="001C336F" w:rsidRDefault="00C657BF">
            <w:pPr>
              <w:spacing w:after="0" w:line="259" w:lineRule="auto"/>
              <w:ind w:left="218" w:right="0" w:firstLine="0"/>
              <w:jc w:val="left"/>
            </w:pPr>
            <w:r>
              <w:t xml:space="preserve">Community acquired MRSA </w:t>
            </w:r>
          </w:p>
        </w:tc>
        <w:tc>
          <w:tcPr>
            <w:tcW w:w="2288" w:type="dxa"/>
            <w:tcBorders>
              <w:top w:val="nil"/>
              <w:left w:val="nil"/>
              <w:bottom w:val="nil"/>
              <w:right w:val="nil"/>
            </w:tcBorders>
          </w:tcPr>
          <w:p w:rsidR="001C336F" w:rsidRDefault="00C657BF">
            <w:pPr>
              <w:spacing w:after="0" w:line="259" w:lineRule="auto"/>
              <w:ind w:left="110" w:right="0" w:firstLine="0"/>
              <w:jc w:val="left"/>
            </w:pPr>
            <w:r>
              <w:t xml:space="preserve">Northwestern </w:t>
            </w:r>
          </w:p>
        </w:tc>
        <w:tc>
          <w:tcPr>
            <w:tcW w:w="3147" w:type="dxa"/>
            <w:tcBorders>
              <w:top w:val="nil"/>
              <w:left w:val="nil"/>
              <w:bottom w:val="nil"/>
              <w:right w:val="nil"/>
            </w:tcBorders>
          </w:tcPr>
          <w:p w:rsidR="001C336F" w:rsidRDefault="00C657BF">
            <w:pPr>
              <w:spacing w:after="0" w:line="259" w:lineRule="auto"/>
              <w:ind w:left="370" w:right="0" w:firstLine="0"/>
              <w:jc w:val="left"/>
            </w:pPr>
            <w:r>
              <w:t xml:space="preserve"> Marshfield, Geisinger </w:t>
            </w:r>
          </w:p>
        </w:tc>
      </w:tr>
      <w:tr w:rsidR="001C336F">
        <w:trPr>
          <w:trHeight w:val="229"/>
        </w:trPr>
        <w:tc>
          <w:tcPr>
            <w:tcW w:w="7107" w:type="dxa"/>
            <w:tcBorders>
              <w:top w:val="nil"/>
              <w:left w:val="nil"/>
              <w:bottom w:val="nil"/>
              <w:right w:val="nil"/>
            </w:tcBorders>
          </w:tcPr>
          <w:p w:rsidR="001C336F" w:rsidRDefault="00C657BF">
            <w:pPr>
              <w:spacing w:after="0" w:line="259" w:lineRule="auto"/>
              <w:ind w:left="218" w:right="0" w:firstLine="0"/>
              <w:jc w:val="left"/>
            </w:pPr>
            <w:r>
              <w:t xml:space="preserve">AMD or Dry eye &amp; response to medication </w:t>
            </w:r>
          </w:p>
        </w:tc>
        <w:tc>
          <w:tcPr>
            <w:tcW w:w="2288" w:type="dxa"/>
            <w:tcBorders>
              <w:top w:val="nil"/>
              <w:left w:val="nil"/>
              <w:bottom w:val="nil"/>
              <w:right w:val="nil"/>
            </w:tcBorders>
          </w:tcPr>
          <w:p w:rsidR="001C336F" w:rsidRDefault="00C657BF">
            <w:pPr>
              <w:spacing w:after="0" w:line="259" w:lineRule="auto"/>
              <w:ind w:left="245" w:right="0" w:firstLine="0"/>
              <w:jc w:val="left"/>
            </w:pPr>
            <w:r>
              <w:t xml:space="preserve">Marshfield </w:t>
            </w:r>
          </w:p>
        </w:tc>
        <w:tc>
          <w:tcPr>
            <w:tcW w:w="3147" w:type="dxa"/>
            <w:tcBorders>
              <w:top w:val="nil"/>
              <w:left w:val="nil"/>
              <w:bottom w:val="nil"/>
              <w:right w:val="nil"/>
            </w:tcBorders>
          </w:tcPr>
          <w:p w:rsidR="001C336F" w:rsidRDefault="00C657BF">
            <w:pPr>
              <w:spacing w:after="0" w:line="259" w:lineRule="auto"/>
              <w:ind w:left="242" w:right="0" w:firstLine="0"/>
              <w:jc w:val="left"/>
            </w:pPr>
            <w:r>
              <w:t xml:space="preserve">Vanderbilt, Northwestern </w:t>
            </w:r>
          </w:p>
        </w:tc>
      </w:tr>
      <w:tr w:rsidR="001C336F">
        <w:trPr>
          <w:trHeight w:val="230"/>
        </w:trPr>
        <w:tc>
          <w:tcPr>
            <w:tcW w:w="7107" w:type="dxa"/>
            <w:tcBorders>
              <w:top w:val="nil"/>
              <w:left w:val="nil"/>
              <w:bottom w:val="nil"/>
              <w:right w:val="nil"/>
            </w:tcBorders>
          </w:tcPr>
          <w:p w:rsidR="001C336F" w:rsidRDefault="00C657BF">
            <w:pPr>
              <w:spacing w:after="0" w:line="259" w:lineRule="auto"/>
              <w:ind w:left="218" w:right="0" w:firstLine="0"/>
              <w:jc w:val="left"/>
            </w:pPr>
            <w:r>
              <w:t xml:space="preserve">Dose Response to lipid lowering agents </w:t>
            </w:r>
          </w:p>
        </w:tc>
        <w:tc>
          <w:tcPr>
            <w:tcW w:w="2288" w:type="dxa"/>
            <w:tcBorders>
              <w:top w:val="nil"/>
              <w:left w:val="nil"/>
              <w:bottom w:val="nil"/>
              <w:right w:val="nil"/>
            </w:tcBorders>
          </w:tcPr>
          <w:p w:rsidR="001C336F" w:rsidRDefault="00C657BF">
            <w:pPr>
              <w:spacing w:after="0" w:line="259" w:lineRule="auto"/>
              <w:ind w:left="257" w:right="0" w:firstLine="0"/>
              <w:jc w:val="left"/>
            </w:pPr>
            <w:r>
              <w:t xml:space="preserve">Vanderbilt </w:t>
            </w:r>
          </w:p>
        </w:tc>
        <w:tc>
          <w:tcPr>
            <w:tcW w:w="3147" w:type="dxa"/>
            <w:tcBorders>
              <w:top w:val="nil"/>
              <w:left w:val="nil"/>
              <w:bottom w:val="nil"/>
              <w:right w:val="nil"/>
            </w:tcBorders>
          </w:tcPr>
          <w:p w:rsidR="001C336F" w:rsidRDefault="00C657BF">
            <w:pPr>
              <w:spacing w:after="0" w:line="259" w:lineRule="auto"/>
              <w:ind w:left="516" w:right="0" w:firstLine="0"/>
              <w:jc w:val="left"/>
            </w:pPr>
            <w:r>
              <w:t xml:space="preserve">Mayo, Mount Sinai </w:t>
            </w:r>
          </w:p>
        </w:tc>
      </w:tr>
      <w:tr w:rsidR="001C336F">
        <w:trPr>
          <w:trHeight w:val="231"/>
        </w:trPr>
        <w:tc>
          <w:tcPr>
            <w:tcW w:w="7107" w:type="dxa"/>
            <w:tcBorders>
              <w:top w:val="nil"/>
              <w:left w:val="nil"/>
              <w:bottom w:val="nil"/>
              <w:right w:val="nil"/>
            </w:tcBorders>
          </w:tcPr>
          <w:p w:rsidR="001C336F" w:rsidRDefault="00C657BF">
            <w:pPr>
              <w:spacing w:after="0" w:line="259" w:lineRule="auto"/>
              <w:ind w:left="218" w:right="0" w:firstLine="0"/>
              <w:jc w:val="left"/>
            </w:pPr>
            <w:r>
              <w:t xml:space="preserve">Complications of Obesity </w:t>
            </w:r>
            <w:proofErr w:type="gramStart"/>
            <w:r>
              <w:t>--  resolution</w:t>
            </w:r>
            <w:proofErr w:type="gramEnd"/>
            <w:r>
              <w:t xml:space="preserve"> of diabetes after ROUX-EN-Y </w:t>
            </w:r>
          </w:p>
        </w:tc>
        <w:tc>
          <w:tcPr>
            <w:tcW w:w="2288" w:type="dxa"/>
            <w:tcBorders>
              <w:top w:val="nil"/>
              <w:left w:val="nil"/>
              <w:bottom w:val="nil"/>
              <w:right w:val="nil"/>
            </w:tcBorders>
          </w:tcPr>
          <w:p w:rsidR="001C336F" w:rsidRDefault="00C657BF">
            <w:pPr>
              <w:spacing w:after="0" w:line="259" w:lineRule="auto"/>
              <w:ind w:left="279" w:right="0" w:firstLine="0"/>
              <w:jc w:val="left"/>
            </w:pPr>
            <w:r>
              <w:t xml:space="preserve">Geisinger </w:t>
            </w:r>
          </w:p>
        </w:tc>
        <w:tc>
          <w:tcPr>
            <w:tcW w:w="3147" w:type="dxa"/>
            <w:tcBorders>
              <w:top w:val="nil"/>
              <w:left w:val="nil"/>
              <w:bottom w:val="nil"/>
              <w:right w:val="nil"/>
            </w:tcBorders>
          </w:tcPr>
          <w:p w:rsidR="001C336F" w:rsidRDefault="00C657BF">
            <w:pPr>
              <w:spacing w:after="0" w:line="259" w:lineRule="auto"/>
              <w:ind w:left="883" w:right="0" w:firstLine="0"/>
              <w:jc w:val="left"/>
            </w:pPr>
            <w:r>
              <w:t xml:space="preserve">Marshfield </w:t>
            </w:r>
          </w:p>
        </w:tc>
      </w:tr>
      <w:tr w:rsidR="001C336F">
        <w:trPr>
          <w:trHeight w:val="238"/>
        </w:trPr>
        <w:tc>
          <w:tcPr>
            <w:tcW w:w="7107" w:type="dxa"/>
            <w:tcBorders>
              <w:top w:val="nil"/>
              <w:left w:val="nil"/>
              <w:bottom w:val="single" w:sz="6" w:space="0" w:color="000000"/>
              <w:right w:val="nil"/>
            </w:tcBorders>
          </w:tcPr>
          <w:p w:rsidR="001C336F" w:rsidRDefault="00C657BF">
            <w:pPr>
              <w:spacing w:after="0" w:line="259" w:lineRule="auto"/>
              <w:ind w:left="218" w:right="0" w:firstLine="0"/>
              <w:jc w:val="left"/>
            </w:pPr>
            <w:r>
              <w:t xml:space="preserve">Upper GI (Peptic ulcer disease) </w:t>
            </w:r>
          </w:p>
        </w:tc>
        <w:tc>
          <w:tcPr>
            <w:tcW w:w="2288" w:type="dxa"/>
            <w:tcBorders>
              <w:top w:val="nil"/>
              <w:left w:val="nil"/>
              <w:bottom w:val="single" w:sz="6" w:space="0" w:color="000000"/>
              <w:right w:val="nil"/>
            </w:tcBorders>
          </w:tcPr>
          <w:p w:rsidR="001C336F" w:rsidRDefault="00C657BF">
            <w:pPr>
              <w:spacing w:after="0" w:line="259" w:lineRule="auto"/>
              <w:ind w:left="257" w:right="0" w:firstLine="0"/>
              <w:jc w:val="left"/>
            </w:pPr>
            <w:r>
              <w:t xml:space="preserve">Vanderbilt </w:t>
            </w:r>
          </w:p>
        </w:tc>
        <w:tc>
          <w:tcPr>
            <w:tcW w:w="3147" w:type="dxa"/>
            <w:tcBorders>
              <w:top w:val="nil"/>
              <w:left w:val="nil"/>
              <w:bottom w:val="single" w:sz="6" w:space="0" w:color="000000"/>
              <w:right w:val="nil"/>
            </w:tcBorders>
          </w:tcPr>
          <w:p w:rsidR="001C336F" w:rsidRDefault="00C657BF">
            <w:pPr>
              <w:spacing w:after="0" w:line="259" w:lineRule="auto"/>
              <w:ind w:left="749" w:right="0" w:firstLine="0"/>
              <w:jc w:val="left"/>
            </w:pPr>
            <w:r>
              <w:t xml:space="preserve">Northwestern </w:t>
            </w:r>
          </w:p>
        </w:tc>
      </w:tr>
    </w:tbl>
    <w:p w:rsidR="001C336F" w:rsidRDefault="00C657BF">
      <w:pPr>
        <w:spacing w:after="4" w:line="250" w:lineRule="auto"/>
        <w:ind w:left="-5" w:right="375"/>
      </w:pPr>
      <w:r>
        <w:rPr>
          <w:sz w:val="18"/>
        </w:rPr>
        <w:t xml:space="preserve">The phenotyping workgroup of the </w:t>
      </w:r>
      <w:proofErr w:type="spellStart"/>
      <w:r>
        <w:rPr>
          <w:sz w:val="18"/>
        </w:rPr>
        <w:t>eMERGE</w:t>
      </w:r>
      <w:proofErr w:type="spellEnd"/>
      <w:r>
        <w:rPr>
          <w:sz w:val="18"/>
        </w:rPr>
        <w:t xml:space="preserve"> </w:t>
      </w:r>
      <w:r>
        <w:rPr>
          <w:sz w:val="18"/>
        </w:rPr>
        <w:t xml:space="preserve">network has as its goal the creation, validation, and execution of phenotype algorithms across </w:t>
      </w:r>
      <w:proofErr w:type="spellStart"/>
      <w:r>
        <w:rPr>
          <w:sz w:val="18"/>
        </w:rPr>
        <w:t>eMERGE</w:t>
      </w:r>
      <w:proofErr w:type="spellEnd"/>
      <w:r>
        <w:rPr>
          <w:sz w:val="18"/>
        </w:rPr>
        <w:t>. Algorithms are adapted and executed at each site to identify cases and controls for each phenotype of interest. These phenotype algorithms typically cons</w:t>
      </w:r>
      <w:r>
        <w:rPr>
          <w:sz w:val="18"/>
        </w:rPr>
        <w:t xml:space="preserve">ist of combinations of </w:t>
      </w:r>
      <w:r>
        <w:rPr>
          <w:sz w:val="18"/>
        </w:rPr>
        <w:lastRenderedPageBreak/>
        <w:t xml:space="preserve">billing codes, laboratory and test results, medication exposures, and natural language processing. The algorithms typically take 6-12 months to develop through a process of design and iterative validation. Validation across multiple </w:t>
      </w:r>
      <w:r>
        <w:rPr>
          <w:sz w:val="18"/>
        </w:rPr>
        <w:t xml:space="preserve">sites is key to develop a transportable algorithm which can then be used in all </w:t>
      </w:r>
      <w:proofErr w:type="spellStart"/>
      <w:r>
        <w:rPr>
          <w:sz w:val="18"/>
        </w:rPr>
        <w:t>eMERGE</w:t>
      </w:r>
      <w:proofErr w:type="spellEnd"/>
      <w:r>
        <w:rPr>
          <w:sz w:val="18"/>
        </w:rPr>
        <w:t xml:space="preserve"> sites and outside the Network.   </w:t>
      </w:r>
    </w:p>
    <w:p w:rsidR="001C336F" w:rsidRDefault="00C657BF">
      <w:pPr>
        <w:spacing w:after="0" w:line="259" w:lineRule="auto"/>
        <w:ind w:left="0" w:right="0" w:firstLine="0"/>
        <w:jc w:val="left"/>
      </w:pPr>
      <w:r>
        <w:rPr>
          <w:rFonts w:ascii="Times New Roman" w:eastAsia="Times New Roman" w:hAnsi="Times New Roman" w:cs="Times New Roman"/>
          <w:sz w:val="18"/>
        </w:rPr>
        <w:t xml:space="preserve"> </w:t>
      </w:r>
      <w:bookmarkStart w:id="0" w:name="_GoBack"/>
      <w:bookmarkEnd w:id="0"/>
    </w:p>
    <w:sectPr w:rsidR="001C336F">
      <w:headerReference w:type="even" r:id="rId14"/>
      <w:headerReference w:type="default" r:id="rId15"/>
      <w:headerReference w:type="first" r:id="rId16"/>
      <w:pgSz w:w="15840" w:h="12240" w:orient="landscape"/>
      <w:pgMar w:top="1440" w:right="1048" w:bottom="1561" w:left="1440" w:header="66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7BF" w:rsidRDefault="00C657BF">
      <w:pPr>
        <w:spacing w:after="0" w:line="240" w:lineRule="auto"/>
      </w:pPr>
      <w:r>
        <w:separator/>
      </w:r>
    </w:p>
  </w:endnote>
  <w:endnote w:type="continuationSeparator" w:id="0">
    <w:p w:rsidR="00C657BF" w:rsidRDefault="00C6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7BF" w:rsidRDefault="00C657BF">
      <w:pPr>
        <w:spacing w:after="0" w:line="240" w:lineRule="auto"/>
      </w:pPr>
      <w:r>
        <w:separator/>
      </w:r>
    </w:p>
  </w:footnote>
  <w:footnote w:type="continuationSeparator" w:id="0">
    <w:p w:rsidR="00C657BF" w:rsidRDefault="00C65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36F" w:rsidRDefault="00C657BF">
    <w:pPr>
      <w:spacing w:after="0" w:line="259" w:lineRule="auto"/>
      <w:ind w:left="0" w:right="4" w:firstLine="0"/>
      <w:jc w:val="right"/>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24"/>
      </w:rPr>
      <w:t xml:space="preserve"> </w:t>
    </w:r>
  </w:p>
  <w:p w:rsidR="001C336F" w:rsidRDefault="00C657BF">
    <w:pPr>
      <w:spacing w:after="0" w:line="259" w:lineRule="auto"/>
      <w:ind w:left="0" w:right="0" w:firstLine="0"/>
      <w:jc w:val="left"/>
    </w:pPr>
    <w:r>
      <w:rPr>
        <w:sz w:val="16"/>
      </w:rPr>
      <w:t xml:space="preserve">Supplement to Gottesman et al. </w:t>
    </w:r>
    <w:r>
      <w:rPr>
        <w:b/>
        <w:sz w:val="16"/>
      </w:rPr>
      <w:t>The Electronic Medical Records and Genomics (</w:t>
    </w:r>
    <w:proofErr w:type="spellStart"/>
    <w:r>
      <w:rPr>
        <w:b/>
        <w:sz w:val="16"/>
      </w:rPr>
      <w:t>eMERGE</w:t>
    </w:r>
    <w:proofErr w:type="spellEnd"/>
    <w:r>
      <w:rPr>
        <w:b/>
        <w:sz w:val="16"/>
      </w:rPr>
      <w:t>) Network: Past, Present and Future</w:t>
    </w:r>
    <w:r>
      <w:rPr>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36F" w:rsidRDefault="00C657BF">
    <w:pPr>
      <w:spacing w:after="0" w:line="259" w:lineRule="auto"/>
      <w:ind w:left="0" w:right="4" w:firstLine="0"/>
      <w:jc w:val="right"/>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24"/>
      </w:rPr>
      <w:t xml:space="preserve"> </w:t>
    </w:r>
  </w:p>
  <w:p w:rsidR="001C336F" w:rsidRDefault="00C657BF">
    <w:pPr>
      <w:spacing w:after="0" w:line="259" w:lineRule="auto"/>
      <w:ind w:left="0" w:right="0" w:firstLine="0"/>
      <w:jc w:val="left"/>
    </w:pPr>
    <w:r>
      <w:rPr>
        <w:sz w:val="16"/>
      </w:rPr>
      <w:t xml:space="preserve">Supplement to Gottesman et al. </w:t>
    </w:r>
    <w:r>
      <w:rPr>
        <w:b/>
        <w:sz w:val="16"/>
      </w:rPr>
      <w:t>The Electronic Medical Records and Genomics (</w:t>
    </w:r>
    <w:proofErr w:type="spellStart"/>
    <w:r>
      <w:rPr>
        <w:b/>
        <w:sz w:val="16"/>
      </w:rPr>
      <w:t>eMERGE</w:t>
    </w:r>
    <w:proofErr w:type="spellEnd"/>
    <w:r>
      <w:rPr>
        <w:b/>
        <w:sz w:val="16"/>
      </w:rPr>
      <w:t>) Network: Past, Present and Future</w:t>
    </w:r>
    <w:r>
      <w:rPr>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36F" w:rsidRDefault="00C657BF">
    <w:pPr>
      <w:spacing w:after="0" w:line="259" w:lineRule="auto"/>
      <w:ind w:left="0" w:right="4" w:firstLine="0"/>
      <w:jc w:val="right"/>
    </w:pPr>
    <w:r>
      <w:fldChar w:fldCharType="begin"/>
    </w:r>
    <w:r>
      <w:instrText xml:space="preserve"> PAGE   \* MERGE</w:instrText>
    </w:r>
    <w:r>
      <w:instrText xml:space="preserv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24"/>
      </w:rPr>
      <w:t xml:space="preserve"> </w:t>
    </w:r>
  </w:p>
  <w:p w:rsidR="001C336F" w:rsidRDefault="00C657BF">
    <w:pPr>
      <w:spacing w:after="0" w:line="259" w:lineRule="auto"/>
      <w:ind w:left="0" w:right="0" w:firstLine="0"/>
      <w:jc w:val="left"/>
    </w:pPr>
    <w:r>
      <w:rPr>
        <w:sz w:val="16"/>
      </w:rPr>
      <w:t xml:space="preserve">Supplement to Gottesman et al. </w:t>
    </w:r>
    <w:r>
      <w:rPr>
        <w:b/>
        <w:sz w:val="16"/>
      </w:rPr>
      <w:t>The Electronic Medical Records and Genomics (</w:t>
    </w:r>
    <w:proofErr w:type="spellStart"/>
    <w:r>
      <w:rPr>
        <w:b/>
        <w:sz w:val="16"/>
      </w:rPr>
      <w:t>eMERGE</w:t>
    </w:r>
    <w:proofErr w:type="spellEnd"/>
    <w:r>
      <w:rPr>
        <w:b/>
        <w:sz w:val="16"/>
      </w:rPr>
      <w:t>) Network: Past, Present and Future</w:t>
    </w:r>
    <w:r>
      <w:rPr>
        <w:sz w:val="1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36F" w:rsidRDefault="00C657BF">
    <w:pPr>
      <w:spacing w:after="0" w:line="259" w:lineRule="auto"/>
      <w:ind w:left="0" w:right="391" w:firstLine="0"/>
      <w:jc w:val="right"/>
    </w:pPr>
    <w:r>
      <w:fldChar w:fldCharType="begin"/>
    </w:r>
    <w:r>
      <w:instrText xml:space="preserve"> PAGE   \* MERGEFORMAT </w:instrText>
    </w:r>
    <w:r>
      <w:fldChar w:fldCharType="separate"/>
    </w:r>
    <w:r>
      <w:rPr>
        <w:rFonts w:ascii="Times New Roman" w:eastAsia="Times New Roman" w:hAnsi="Times New Roman" w:cs="Times New Roman"/>
        <w:sz w:val="18"/>
      </w:rPr>
      <w:t>7</w:t>
    </w:r>
    <w:r>
      <w:rPr>
        <w:rFonts w:ascii="Times New Roman" w:eastAsia="Times New Roman" w:hAnsi="Times New Roman" w:cs="Times New Roman"/>
        <w:sz w:val="18"/>
      </w:rPr>
      <w:fldChar w:fldCharType="end"/>
    </w:r>
    <w:r>
      <w:rPr>
        <w:rFonts w:ascii="Times New Roman" w:eastAsia="Times New Roman" w:hAnsi="Times New Roman" w:cs="Times New Roman"/>
        <w:sz w:val="24"/>
      </w:rPr>
      <w:t xml:space="preserve"> </w:t>
    </w:r>
  </w:p>
  <w:p w:rsidR="001C336F" w:rsidRDefault="00C657BF">
    <w:pPr>
      <w:spacing w:after="0" w:line="259" w:lineRule="auto"/>
      <w:ind w:left="0" w:right="0" w:firstLine="0"/>
      <w:jc w:val="left"/>
    </w:pPr>
    <w:r>
      <w:rPr>
        <w:sz w:val="16"/>
      </w:rPr>
      <w:t xml:space="preserve">Supplement to Gottesman et al. </w:t>
    </w:r>
    <w:r>
      <w:rPr>
        <w:b/>
        <w:sz w:val="16"/>
      </w:rPr>
      <w:t>The Electronic Medical Records and Genomics (</w:t>
    </w:r>
    <w:proofErr w:type="spellStart"/>
    <w:r>
      <w:rPr>
        <w:b/>
        <w:sz w:val="16"/>
      </w:rPr>
      <w:t>eMERGE</w:t>
    </w:r>
    <w:proofErr w:type="spellEnd"/>
    <w:r>
      <w:rPr>
        <w:b/>
        <w:sz w:val="16"/>
      </w:rPr>
      <w:t>) Network: Past, Pres</w:t>
    </w:r>
    <w:r>
      <w:rPr>
        <w:b/>
        <w:sz w:val="16"/>
      </w:rPr>
      <w:t>ent and Future</w:t>
    </w:r>
    <w:r>
      <w:rPr>
        <w:sz w:val="1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36F" w:rsidRDefault="00C657BF">
    <w:pPr>
      <w:spacing w:after="0" w:line="259" w:lineRule="auto"/>
      <w:ind w:left="0" w:right="391" w:firstLine="0"/>
      <w:jc w:val="right"/>
    </w:pPr>
    <w:r>
      <w:fldChar w:fldCharType="begin"/>
    </w:r>
    <w:r>
      <w:instrText xml:space="preserve"> PAGE   \* MERGEFORMAT </w:instrText>
    </w:r>
    <w:r>
      <w:fldChar w:fldCharType="separate"/>
    </w:r>
    <w:r>
      <w:rPr>
        <w:rFonts w:ascii="Times New Roman" w:eastAsia="Times New Roman" w:hAnsi="Times New Roman" w:cs="Times New Roman"/>
        <w:sz w:val="18"/>
      </w:rPr>
      <w:t>7</w:t>
    </w:r>
    <w:r>
      <w:rPr>
        <w:rFonts w:ascii="Times New Roman" w:eastAsia="Times New Roman" w:hAnsi="Times New Roman" w:cs="Times New Roman"/>
        <w:sz w:val="18"/>
      </w:rPr>
      <w:fldChar w:fldCharType="end"/>
    </w:r>
    <w:r>
      <w:rPr>
        <w:rFonts w:ascii="Times New Roman" w:eastAsia="Times New Roman" w:hAnsi="Times New Roman" w:cs="Times New Roman"/>
        <w:sz w:val="24"/>
      </w:rPr>
      <w:t xml:space="preserve"> </w:t>
    </w:r>
  </w:p>
  <w:p w:rsidR="001C336F" w:rsidRDefault="00C657BF">
    <w:pPr>
      <w:spacing w:after="0" w:line="259" w:lineRule="auto"/>
      <w:ind w:left="0" w:right="0" w:firstLine="0"/>
      <w:jc w:val="left"/>
    </w:pPr>
    <w:r>
      <w:rPr>
        <w:sz w:val="16"/>
      </w:rPr>
      <w:t xml:space="preserve">Supplement to Gottesman et al. </w:t>
    </w:r>
    <w:r>
      <w:rPr>
        <w:b/>
        <w:sz w:val="16"/>
      </w:rPr>
      <w:t>The Electronic Medical Records and Genomics (</w:t>
    </w:r>
    <w:proofErr w:type="spellStart"/>
    <w:r>
      <w:rPr>
        <w:b/>
        <w:sz w:val="16"/>
      </w:rPr>
      <w:t>eMERGE</w:t>
    </w:r>
    <w:proofErr w:type="spellEnd"/>
    <w:r>
      <w:rPr>
        <w:b/>
        <w:sz w:val="16"/>
      </w:rPr>
      <w:t>) Network: Past, Present and Future</w:t>
    </w:r>
    <w:r>
      <w:rPr>
        <w:sz w:val="1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36F" w:rsidRDefault="00C657BF">
    <w:pPr>
      <w:spacing w:after="0" w:line="259" w:lineRule="auto"/>
      <w:ind w:left="0" w:right="391" w:firstLine="0"/>
      <w:jc w:val="right"/>
    </w:pPr>
    <w:r>
      <w:fldChar w:fldCharType="begin"/>
    </w:r>
    <w:r>
      <w:instrText xml:space="preserve"> PAGE   \* MERGEFORMAT </w:instrText>
    </w:r>
    <w:r>
      <w:fldChar w:fldCharType="separate"/>
    </w:r>
    <w:r>
      <w:rPr>
        <w:rFonts w:ascii="Times New Roman" w:eastAsia="Times New Roman" w:hAnsi="Times New Roman" w:cs="Times New Roman"/>
        <w:sz w:val="18"/>
      </w:rPr>
      <w:t>7</w:t>
    </w:r>
    <w:r>
      <w:rPr>
        <w:rFonts w:ascii="Times New Roman" w:eastAsia="Times New Roman" w:hAnsi="Times New Roman" w:cs="Times New Roman"/>
        <w:sz w:val="18"/>
      </w:rPr>
      <w:fldChar w:fldCharType="end"/>
    </w:r>
    <w:r>
      <w:rPr>
        <w:rFonts w:ascii="Times New Roman" w:eastAsia="Times New Roman" w:hAnsi="Times New Roman" w:cs="Times New Roman"/>
        <w:sz w:val="24"/>
      </w:rPr>
      <w:t xml:space="preserve"> </w:t>
    </w:r>
  </w:p>
  <w:p w:rsidR="001C336F" w:rsidRDefault="00C657BF">
    <w:pPr>
      <w:spacing w:after="0" w:line="259" w:lineRule="auto"/>
      <w:ind w:left="0" w:right="0" w:firstLine="0"/>
      <w:jc w:val="left"/>
    </w:pPr>
    <w:r>
      <w:rPr>
        <w:sz w:val="16"/>
      </w:rPr>
      <w:t xml:space="preserve">Supplement to Gottesman et al. </w:t>
    </w:r>
    <w:r>
      <w:rPr>
        <w:b/>
        <w:sz w:val="16"/>
      </w:rPr>
      <w:t>The Electronic Medical Records</w:t>
    </w:r>
    <w:r>
      <w:rPr>
        <w:b/>
        <w:sz w:val="16"/>
      </w:rPr>
      <w:t xml:space="preserve"> and Genomics (</w:t>
    </w:r>
    <w:proofErr w:type="spellStart"/>
    <w:r>
      <w:rPr>
        <w:b/>
        <w:sz w:val="16"/>
      </w:rPr>
      <w:t>eMERGE</w:t>
    </w:r>
    <w:proofErr w:type="spellEnd"/>
    <w:r>
      <w:rPr>
        <w:b/>
        <w:sz w:val="16"/>
      </w:rPr>
      <w:t>) Network: Past, Present and Future</w:t>
    </w:r>
    <w:r>
      <w:rPr>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E63A1"/>
    <w:multiLevelType w:val="hybridMultilevel"/>
    <w:tmpl w:val="E6CA4FC6"/>
    <w:lvl w:ilvl="0" w:tplc="B80AF120">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B40EB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225AA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9434F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74204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29C314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E4AA1E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44427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7B2DF7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A75624"/>
    <w:multiLevelType w:val="hybridMultilevel"/>
    <w:tmpl w:val="C870104E"/>
    <w:lvl w:ilvl="0" w:tplc="CE20573E">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04B42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8603AD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858123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D8E3B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CF6F36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9E1EC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F4D07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F3687B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2361EB7"/>
    <w:multiLevelType w:val="hybridMultilevel"/>
    <w:tmpl w:val="FD741060"/>
    <w:lvl w:ilvl="0" w:tplc="A73C355E">
      <w:start w:val="5"/>
      <w:numFmt w:val="decimal"/>
      <w:lvlText w:val="%1."/>
      <w:lvlJc w:val="left"/>
      <w:pPr>
        <w:ind w:left="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6E328E">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04063A">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45E4650">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A46D6">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40A4A6">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C63416">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683544">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730F23E">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BA46294"/>
    <w:multiLevelType w:val="hybridMultilevel"/>
    <w:tmpl w:val="10B41F0A"/>
    <w:lvl w:ilvl="0" w:tplc="1A6C26CE">
      <w:start w:val="1"/>
      <w:numFmt w:val="decimal"/>
      <w:lvlText w:val="%1."/>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461A52">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FF673BC">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A1EAEFC">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46B33E">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6E82DF8">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8048098">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0EAC56">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D6E2490">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93A33C3"/>
    <w:multiLevelType w:val="hybridMultilevel"/>
    <w:tmpl w:val="04CC6E9E"/>
    <w:lvl w:ilvl="0" w:tplc="00CC138C">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9C66F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12A80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110A73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841E8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4B28B9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D40475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EE563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D94096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0EE028F"/>
    <w:multiLevelType w:val="hybridMultilevel"/>
    <w:tmpl w:val="CF4C4C22"/>
    <w:lvl w:ilvl="0" w:tplc="0D9EC6EC">
      <w:start w:val="1"/>
      <w:numFmt w:val="decimal"/>
      <w:lvlText w:val="%1."/>
      <w:lvlJc w:val="left"/>
      <w:pPr>
        <w:ind w:left="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C066A0">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E78E7D6">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60BFB8">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6E94EA">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A744B7C">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A12025E">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3694AC">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8C6D238">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FC24FAF"/>
    <w:multiLevelType w:val="hybridMultilevel"/>
    <w:tmpl w:val="85DE113E"/>
    <w:lvl w:ilvl="0" w:tplc="CB5C2EF4">
      <w:start w:val="1"/>
      <w:numFmt w:val="decimal"/>
      <w:lvlText w:val="%1."/>
      <w:lvlJc w:val="left"/>
      <w:pPr>
        <w:ind w:left="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AEA396">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4248038">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88F880">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3A96C2">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EB66808">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636551E">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FA0E5E">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C6EE520">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36F"/>
    <w:rsid w:val="001C336F"/>
    <w:rsid w:val="00A074E4"/>
    <w:rsid w:val="00C65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3FD2B3-C579-4B20-8597-DB450784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8" w:lineRule="auto"/>
      <w:ind w:left="10" w:right="2" w:hanging="10"/>
      <w:jc w:val="both"/>
    </w:pPr>
    <w:rPr>
      <w:rFonts w:ascii="Arial" w:eastAsia="Arial" w:hAnsi="Arial" w:cs="Arial"/>
      <w:color w:val="000000"/>
      <w:sz w:val="20"/>
    </w:rPr>
  </w:style>
  <w:style w:type="paragraph" w:styleId="1">
    <w:name w:val="heading 1"/>
    <w:next w:val="a"/>
    <w:link w:val="10"/>
    <w:uiPriority w:val="9"/>
    <w:qFormat/>
    <w:pPr>
      <w:keepNext/>
      <w:keepLines/>
      <w:spacing w:line="259" w:lineRule="auto"/>
      <w:ind w:right="8"/>
      <w:outlineLvl w:val="0"/>
    </w:pPr>
    <w:rPr>
      <w:rFonts w:ascii="Arial" w:eastAsia="Arial" w:hAnsi="Arial" w:cs="Arial"/>
      <w:b/>
      <w:color w:val="000000"/>
      <w:sz w:val="22"/>
    </w:rPr>
  </w:style>
  <w:style w:type="paragraph" w:styleId="2">
    <w:name w:val="heading 2"/>
    <w:next w:val="a"/>
    <w:link w:val="20"/>
    <w:uiPriority w:val="9"/>
    <w:unhideWhenUsed/>
    <w:qFormat/>
    <w:pPr>
      <w:keepNext/>
      <w:keepLines/>
      <w:spacing w:after="3" w:line="259" w:lineRule="auto"/>
      <w:ind w:left="10" w:hanging="10"/>
      <w:outlineLvl w:val="1"/>
    </w:pPr>
    <w:rPr>
      <w:rFonts w:ascii="Arial" w:eastAsia="Arial" w:hAnsi="Arial" w:cs="Arial"/>
      <w:b/>
      <w:color w:val="000000"/>
      <w:sz w:val="20"/>
    </w:rPr>
  </w:style>
  <w:style w:type="paragraph" w:styleId="3">
    <w:name w:val="heading 3"/>
    <w:next w:val="a"/>
    <w:link w:val="30"/>
    <w:uiPriority w:val="9"/>
    <w:unhideWhenUsed/>
    <w:qFormat/>
    <w:pPr>
      <w:keepNext/>
      <w:keepLines/>
      <w:spacing w:line="259" w:lineRule="auto"/>
      <w:outlineLvl w:val="2"/>
    </w:pPr>
    <w:rPr>
      <w:rFonts w:ascii="Arial" w:eastAsia="Arial" w:hAnsi="Arial" w:cs="Arial"/>
      <w:b/>
      <w:color w:val="00000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Arial" w:eastAsia="Arial" w:hAnsi="Arial" w:cs="Arial"/>
      <w:b/>
      <w:color w:val="000000"/>
      <w:sz w:val="18"/>
    </w:rPr>
  </w:style>
  <w:style w:type="character" w:customStyle="1" w:styleId="20">
    <w:name w:val="标题 2 字符"/>
    <w:link w:val="2"/>
    <w:rPr>
      <w:rFonts w:ascii="Arial" w:eastAsia="Arial" w:hAnsi="Arial" w:cs="Arial"/>
      <w:b/>
      <w:color w:val="000000"/>
      <w:sz w:val="20"/>
    </w:rPr>
  </w:style>
  <w:style w:type="character" w:customStyle="1" w:styleId="10">
    <w:name w:val="标题 1 字符"/>
    <w:link w:val="1"/>
    <w:rPr>
      <w:rFonts w:ascii="Arial" w:eastAsia="Arial" w:hAnsi="Arial" w:cs="Arial"/>
      <w:b/>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webSettings>
</file>

<file path=word/_rels/document.xml.rels><?xml version="1.0" encoding="UTF-8" standalone="yes"?>
<Relationships xmlns="http://schemas.openxmlformats.org/package/2006/relationships"><Relationship Id="rId8" Type="http://schemas.openxmlformats.org/officeDocument/2006/relationships/hyperlink" Target="http://www.fda.gov/Drugs/ScienceResearch/ResearchAreas/Pharmacogenetics/ucm083378.htm."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da.gov/Drugs/ScienceResearch/ResearchAreas/Pharmacogenetics/ucm083378.ht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phekb.org/" TargetMode="External"/><Relationship Id="rId4" Type="http://schemas.openxmlformats.org/officeDocument/2006/relationships/webSettings" Target="webSettings.xml"/><Relationship Id="rId9" Type="http://schemas.openxmlformats.org/officeDocument/2006/relationships/hyperlink" Target="http://phekb.org/" TargetMode="Externa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5511</Words>
  <Characters>31413</Characters>
  <Application>Microsoft Office Word</Application>
  <DocSecurity>0</DocSecurity>
  <Lines>261</Lines>
  <Paragraphs>73</Paragraphs>
  <ScaleCrop>false</ScaleCrop>
  <Company/>
  <LinksUpToDate>false</LinksUpToDate>
  <CharactersWithSpaces>36851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Kuivaniemi, S. Helena</dc:creator>
  <cp:keywords/>
  <cp:lastModifiedBy>李瑞章</cp:lastModifiedBy>
  <cp:revision>2</cp:revision>
  <dcterms:created xsi:type="dcterms:W3CDTF">2020-03-28T06:34:00Z</dcterms:created>
  <dcterms:modified xsi:type="dcterms:W3CDTF">2020-03-28T06:34:00Z</dcterms:modified>
</cp:coreProperties>
</file>