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  <w:r>
        <w:t xml:space="preserve"> </w:t>
      </w:r>
      <w:r>
        <w:t xml:space="preserve">Using</w:t>
      </w:r>
      <w:r>
        <w:t xml:space="preserve"> </w:t>
      </w: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Knitr</w:t>
      </w:r>
    </w:p>
    <w:p>
      <w:pPr>
        <w:pStyle w:val="Author"/>
      </w:pPr>
      <w:r>
        <w:t xml:space="preserve">Mahbubul</w:t>
      </w:r>
      <w:r>
        <w:t xml:space="preserve"> </w:t>
      </w:r>
      <w:r>
        <w:t xml:space="preserve">Majumder,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is an R Markdown document. Markdown is a simple formatting syntax for authoring HTML, PDF, and MS Word documents. Notice the source file extension is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. You can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this file from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and produce the output in either HTML or PDF or MS Word format. Viewing the actual markdown syntax in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will help you understand how this file is created.</w:t>
      </w:r>
    </w:p>
    <w:p>
      <w:pPr>
        <w:pStyle w:val="Heading2"/>
      </w:pPr>
      <w:bookmarkStart w:id="21" w:name="basic-functions"/>
      <w:bookmarkEnd w:id="21"/>
      <w:r>
        <w:t xml:space="preserve">Basic functions</w:t>
      </w:r>
    </w:p>
    <w:p>
      <w:pPr>
        <w:pStyle w:val="FirstParagraph"/>
      </w:pPr>
      <w:r>
        <w:t xml:space="preserve">We use asterisk mark to emphasize the words such as single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double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bolds</w:t>
      </w:r>
      <w:r>
        <w:t xml:space="preserve">.</w:t>
      </w:r>
    </w:p>
    <w:p>
      <w:pPr>
        <w:pStyle w:val="BodyText"/>
      </w:pPr>
      <w:r>
        <w:t xml:space="preserve">We use dash mark to create a list.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FirstParagraph"/>
      </w:pPr>
      <w:r>
        <w:t xml:space="preserve">We can also create ordered list by numbering them as follows</w:t>
      </w:r>
    </w:p>
    <w:p>
      <w:pPr>
        <w:pStyle w:val="Compact"/>
        <w:numPr>
          <w:numId w:val="1002"/>
          <w:ilvl w:val="0"/>
        </w:numPr>
      </w:pPr>
      <w:r>
        <w:t xml:space="preserve">list 1</w:t>
      </w:r>
    </w:p>
    <w:p>
      <w:pPr>
        <w:pStyle w:val="Compact"/>
        <w:numPr>
          <w:numId w:val="1002"/>
          <w:ilvl w:val="0"/>
        </w:numPr>
      </w:pPr>
      <w:r>
        <w:t xml:space="preserve">list 2</w:t>
      </w:r>
    </w:p>
    <w:p>
      <w:pPr>
        <w:pStyle w:val="Compact"/>
        <w:numPr>
          <w:numId w:val="1002"/>
          <w:ilvl w:val="0"/>
        </w:numPr>
      </w:pPr>
      <w:r>
        <w:t xml:space="preserve">list 3</w:t>
      </w:r>
    </w:p>
    <w:p>
      <w:pPr>
        <w:pStyle w:val="SourceCode"/>
      </w:pPr>
      <w:r>
        <w:rPr>
          <w:rStyle w:val="VerbatimChar"/>
        </w:rPr>
        <w:t xml:space="preserve">We use back ticks to create</w:t>
      </w:r>
      <w:r>
        <w:br w:type="textWrapping"/>
      </w:r>
      <w:r>
        <w:rPr>
          <w:rStyle w:val="VerbatimChar"/>
        </w:rPr>
        <w:t xml:space="preserve">a block of codes</w:t>
      </w:r>
    </w:p>
    <w:p>
      <w:pPr>
        <w:pStyle w:val="Heading2"/>
      </w:pPr>
      <w:bookmarkStart w:id="22" w:name="embedding-r-codes"/>
      <w:bookmarkEnd w:id="22"/>
      <w:r>
        <w:t xml:space="preserve">Embedding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codes</w:t>
      </w:r>
    </w:p>
    <w:p>
      <w:pPr>
        <w:pStyle w:val="FirstParagraph"/>
      </w:pPr>
      <w:r>
        <w:t xml:space="preserve">If we want to embed some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codes we can do it as below. This is one of the powers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kintr</w:t>
      </w:r>
      <w:r>
        <w:t xml:space="preserve"> </w:t>
      </w:r>
      <w:r>
        <w:t xml:space="preserve">brought for us. We can control the size of the figure in knitr code chunk option.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(hp, mpg))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-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embed inline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codes to display results in a line. Such as the number of records in dataframe women is 15.</w:t>
      </w:r>
    </w:p>
    <w:p>
      <w:pPr>
        <w:pStyle w:val="BodyText"/>
      </w:pPr>
      <w:r>
        <w:t xml:space="preserve">We use function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to display a table of data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2"/>
      </w:pPr>
      <w:bookmarkStart w:id="24" w:name="math-equation"/>
      <w:bookmarkEnd w:id="24"/>
      <w:r>
        <w:t xml:space="preserve">Math Equation</w:t>
      </w:r>
    </w:p>
    <w:p>
      <w:pPr>
        <w:pStyle w:val="FirstParagraph"/>
      </w:pPr>
      <w:r>
        <w:t xml:space="preserve">We can embed mathematical equations. For inline equation we use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sign such as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bar>
          <m:barPr>
            <m:pos m:val="top"/>
          </m:barPr>
          <m:e>
            <m:r>
              <m:t>y</m:t>
            </m:r>
          </m:e>
        </m:bar>
        <m:r>
          <m:t>)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/</m:t>
        </m:r>
        <m:r>
          <m:t>n</m:t>
        </m:r>
      </m:oMath>
      <w:r>
        <w:t xml:space="preserve">. For standalone equation we use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as below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(</m:t>
              </m:r>
              <m:r>
                <m:t>x</m:t>
              </m:r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>
      <w:pPr>
        <w:pStyle w:val="Heading2"/>
      </w:pPr>
      <w:bookmarkStart w:id="25" w:name="adding-bibliography"/>
      <w:bookmarkEnd w:id="25"/>
      <w:r>
        <w:t xml:space="preserve">Adding Bibliography</w:t>
      </w:r>
    </w:p>
    <w:p>
      <w:pPr>
        <w:pStyle w:val="FirstParagraph"/>
      </w:pPr>
      <w:r>
        <w:t xml:space="preserve">We can add bibliography and cite it. For example if we want to cite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we just do it as this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. If we want to cite other references we can do it as this</w:t>
      </w:r>
      <w:r>
        <w:rPr>
          <w:rStyle w:val="FootnoteReference"/>
        </w:rPr>
        <w:footnoteReference w:id="27"/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Dynamic Documents with R and knitr by Yihui Xie.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knitr showcase, examples from other users</w:t>
      </w:r>
      <w:r>
        <w:t xml:space="preserve"> </w:t>
      </w:r>
      <w:hyperlink r:id="rId28">
        <w:r>
          <w:rPr>
            <w:rStyle w:val="Hyperlink"/>
          </w:rPr>
          <w:t xml:space="preserve">http://yihui.name/knitr/demo/showcase/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e684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4b8b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2056d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8" Target="http://yihui.name/knitr/demo/showcas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yihui.name/knitr/demo/showca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Template to Create Reproducible Document Using Rmarkdown and Knitr</dc:title>
  <dc:creator>Mahbubul Majumder, PhD</dc:creator>
  <dcterms:created xsi:type="dcterms:W3CDTF">2018-01-25T01:49:58Z</dcterms:created>
  <dcterms:modified xsi:type="dcterms:W3CDTF">2018-01-25T01:49:58Z</dcterms:modified>
</cp:coreProperties>
</file>