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480" w:after="240"/>
        <w:jc w:val="center"/>
      </w:pPr>
      <w:r>
        <w:rPr>
          <w:rFonts w:ascii="Arial" w:hAnsi="Arial"/>
          <w:b/>
          <w:color w:val="0078B4"/>
          <w:sz w:val="44"/>
        </w:rPr>
        <w:t>AETHER-X // SYSTEM DESIGN &amp; STARTUP PROPOSAL</w:t>
      </w:r>
    </w:p>
    <w:p>
      <w:pPr>
        <w:spacing w:before="360" w:after="160"/>
      </w:pPr>
      <w:r>
        <w:rPr>
          <w:rFonts w:ascii="Arial" w:hAnsi="Arial"/>
          <w:b/>
          <w:color w:val="505A64"/>
          <w:sz w:val="32"/>
        </w:rPr>
        <w:t>The Enterprise Consciousness Operating System (v1.0.0-Release)</w:t>
      </w:r>
    </w:p>
    <w:p>
      <w:pPr>
        <w:spacing w:after="160" w:line="276" w:lineRule="auto"/>
      </w:pPr>
      <w:r>
        <w:rPr>
          <w:rFonts w:ascii="Arial" w:hAnsi="Arial"/>
          <w:color w:val="282828"/>
          <w:sz w:val="22"/>
        </w:rPr>
        <w:t>---</w:t>
      </w:r>
    </w:p>
    <w:p>
      <w:pPr>
        <w:spacing w:before="360" w:after="160"/>
      </w:pPr>
      <w:r>
        <w:rPr>
          <w:rFonts w:ascii="Arial" w:hAnsi="Arial"/>
          <w:b/>
          <w:color w:val="505A64"/>
          <w:sz w:val="32"/>
        </w:rPr>
        <w:t>1. Cover Page</w:t>
      </w:r>
    </w:p>
    <w:p>
      <w:pPr>
        <w:pStyle w:val="ListBullet"/>
        <w:spacing w:after="80"/>
      </w:pPr>
      <w:r>
        <w:rPr>
          <w:rFonts w:ascii="Arial" w:hAnsi="Arial"/>
          <w:b/>
          <w:sz w:val="22"/>
        </w:rPr>
        <w:t xml:space="preserve">Project Name: </w:t>
      </w:r>
      <w:r>
        <w:rPr>
          <w:rFonts w:ascii="Arial" w:hAnsi="Arial"/>
          <w:sz w:val="22"/>
        </w:rPr>
        <w:t>: AETHER-X – Enterprise Consciousness Engine</w:t>
      </w:r>
    </w:p>
    <w:p>
      <w:pPr>
        <w:pStyle w:val="ListBullet"/>
        <w:spacing w:after="80"/>
      </w:pPr>
      <w:r>
        <w:rPr>
          <w:rFonts w:ascii="Arial" w:hAnsi="Arial"/>
          <w:b/>
          <w:sz w:val="22"/>
        </w:rPr>
        <w:t xml:space="preserve">Tagline: </w:t>
      </w:r>
      <w:r>
        <w:rPr>
          <w:rFonts w:ascii="Arial" w:hAnsi="Arial"/>
          <w:sz w:val="22"/>
        </w:rPr>
        <w:t>: The World's First Self-Learning Enterprise Brain for Mission-Critical Operations</w:t>
      </w:r>
    </w:p>
    <w:p>
      <w:pPr>
        <w:pStyle w:val="ListBullet"/>
        <w:spacing w:after="80"/>
      </w:pPr>
      <w:r>
        <w:rPr>
          <w:rFonts w:ascii="Arial" w:hAnsi="Arial"/>
          <w:b/>
          <w:sz w:val="22"/>
        </w:rPr>
        <w:t xml:space="preserve">Lead AI Engineer &amp; Full-Stack Architect: </w:t>
      </w:r>
      <w:r>
        <w:rPr>
          <w:rFonts w:ascii="Arial" w:hAnsi="Arial"/>
          <w:sz w:val="22"/>
        </w:rPr>
        <w:t>: Advanced Agentic Coding Group</w:t>
      </w:r>
    </w:p>
    <w:p>
      <w:pPr>
        <w:pStyle w:val="ListBullet"/>
        <w:spacing w:after="80"/>
      </w:pPr>
      <w:r>
        <w:rPr>
          <w:rFonts w:ascii="Arial" w:hAnsi="Arial"/>
          <w:b/>
          <w:sz w:val="22"/>
        </w:rPr>
        <w:t xml:space="preserve">Target Audience: </w:t>
      </w:r>
      <w:r>
        <w:rPr>
          <w:rFonts w:ascii="Arial" w:hAnsi="Arial"/>
          <w:sz w:val="22"/>
        </w:rPr>
        <w:t>: Venture Capitalists, Enterprise Recruiters, and Mission-Critical System Operators</w:t>
      </w:r>
    </w:p>
    <w:p>
      <w:pPr>
        <w:pStyle w:val="ListBullet"/>
        <w:spacing w:after="80"/>
      </w:pPr>
      <w:r>
        <w:rPr>
          <w:rFonts w:ascii="Arial" w:hAnsi="Arial"/>
          <w:b/>
          <w:sz w:val="22"/>
        </w:rPr>
        <w:t xml:space="preserve">Document Version: </w:t>
      </w:r>
      <w:r>
        <w:rPr>
          <w:rFonts w:ascii="Arial" w:hAnsi="Arial"/>
          <w:sz w:val="22"/>
        </w:rPr>
        <w:t>: v1.0.0-Release</w:t>
      </w:r>
    </w:p>
    <w:p>
      <w:pPr>
        <w:pStyle w:val="ListBullet"/>
        <w:spacing w:after="80"/>
      </w:pPr>
      <w:r>
        <w:rPr>
          <w:rFonts w:ascii="Arial" w:hAnsi="Arial"/>
          <w:b/>
          <w:sz w:val="22"/>
        </w:rPr>
        <w:t xml:space="preserve">Development Phase: </w:t>
      </w:r>
      <w:r>
        <w:rPr>
          <w:rFonts w:ascii="Arial" w:hAnsi="Arial"/>
          <w:sz w:val="22"/>
        </w:rPr>
        <w:t>: Functional Prototype and Architecture Design</w:t>
      </w:r>
    </w:p>
    <w:p>
      <w:pPr>
        <w:pStyle w:val="ListBullet"/>
        <w:spacing w:after="80"/>
      </w:pPr>
      <w:r>
        <w:rPr>
          <w:rFonts w:ascii="Arial" w:hAnsi="Arial"/>
          <w:b/>
          <w:sz w:val="22"/>
        </w:rPr>
        <w:t xml:space="preserve">Primary URL: </w:t>
      </w:r>
      <w:r>
        <w:rPr>
          <w:rFonts w:ascii="Arial" w:hAnsi="Arial"/>
          <w:sz w:val="22"/>
        </w:rPr>
        <w:t>: http://localhost:3002/</w:t>
      </w:r>
    </w:p>
    <w:p>
      <w:pPr>
        <w:pStyle w:val="ListBullet"/>
        <w:spacing w:after="80"/>
      </w:pPr>
      <w:r>
        <w:rPr>
          <w:rFonts w:ascii="Arial" w:hAnsi="Arial"/>
          <w:b/>
          <w:sz w:val="22"/>
        </w:rPr>
        <w:t xml:space="preserve">Legacy Sub-route: </w:t>
      </w:r>
      <w:r>
        <w:rPr>
          <w:rFonts w:ascii="Arial" w:hAnsi="Arial"/>
          <w:sz w:val="22"/>
        </w:rPr>
        <w:t>: http://localhost:3002/ai-iros (Boardroom Investment Research Application)</w:t>
      </w:r>
    </w:p>
    <w:p>
      <w:pPr>
        <w:pStyle w:val="ListBullet"/>
        <w:spacing w:after="80"/>
      </w:pPr>
      <w:r>
        <w:rPr>
          <w:rFonts w:ascii="Arial" w:hAnsi="Arial"/>
          <w:b/>
          <w:sz w:val="22"/>
        </w:rPr>
        <w:t xml:space="preserve">Date of Publication: </w:t>
      </w:r>
      <w:r>
        <w:rPr>
          <w:rFonts w:ascii="Arial" w:hAnsi="Arial"/>
          <w:sz w:val="22"/>
        </w:rPr>
        <w:t>: June 22, 2026</w:t>
      </w:r>
    </w:p>
    <w:p>
      <w:pPr>
        <w:spacing w:after="160" w:line="276" w:lineRule="auto"/>
      </w:pPr>
      <w:r>
        <w:rPr>
          <w:rFonts w:ascii="Arial" w:hAnsi="Arial"/>
          <w:color w:val="282828"/>
          <w:sz w:val="22"/>
        </w:rPr>
        <w:t>---</w:t>
      </w:r>
    </w:p>
    <w:p>
      <w:pPr>
        <w:spacing w:before="360" w:after="160"/>
      </w:pPr>
      <w:r>
        <w:rPr>
          <w:rFonts w:ascii="Arial" w:hAnsi="Arial"/>
          <w:b/>
          <w:color w:val="505A64"/>
          <w:sz w:val="32"/>
        </w:rPr>
        <w:t>2. Executive Summary</w:t>
      </w:r>
    </w:p>
    <w:p>
      <w:pPr>
        <w:spacing w:before="280" w:after="120"/>
      </w:pPr>
      <w:r>
        <w:rPr>
          <w:rFonts w:ascii="Arial" w:hAnsi="Arial"/>
          <w:b/>
          <w:color w:val="505A64"/>
          <w:sz w:val="26"/>
        </w:rPr>
        <w:t>2.1 Problem Statement</w:t>
      </w:r>
    </w:p>
    <w:p>
      <w:pPr>
        <w:spacing w:after="160" w:line="276" w:lineRule="auto"/>
      </w:pPr>
      <w:r>
        <w:rPr>
          <w:rFonts w:ascii="Arial" w:hAnsi="Arial"/>
          <w:color w:val="282828"/>
          <w:sz w:val="22"/>
        </w:rPr>
        <w:t>Modern enterprises are drowning in fragmented, high-velocity data. Industrial manufacturing plants, utility grids, global logistics networks, and defense facilities generate petabytes of data daily across SCADA systems, industrial sensors, unstructured PDFs, and compliance logs. However, this intelligence is heavily siloed. Operators must manually correlate info across separate screens, resulting in massive operational latency, safety accidents, and expensive compliance penalties.</w:t>
      </w:r>
    </w:p>
    <w:p>
      <w:pPr>
        <w:spacing w:before="280" w:after="120"/>
      </w:pPr>
      <w:r>
        <w:rPr>
          <w:rFonts w:ascii="Arial" w:hAnsi="Arial"/>
          <w:b/>
          <w:color w:val="505A64"/>
          <w:sz w:val="26"/>
        </w:rPr>
        <w:t>2.2 Current Industry Challenges</w:t>
      </w:r>
    </w:p>
    <w:p>
      <w:pPr>
        <w:pStyle w:val="ListBullet"/>
        <w:spacing w:after="80"/>
      </w:pPr>
      <w:r>
        <w:rPr>
          <w:rFonts w:ascii="Arial" w:hAnsi="Arial"/>
          <w:b/>
          <w:sz w:val="22"/>
        </w:rPr>
        <w:t xml:space="preserve">Knowledge Fragmentation: </w:t>
      </w:r>
      <w:r>
        <w:rPr>
          <w:rFonts w:ascii="Arial" w:hAnsi="Arial"/>
          <w:sz w:val="22"/>
        </w:rPr>
        <w:t>: Up to 80% of enterprise knowledge sits inside operating logs, equipment manuals, and SEC documents, completely inaccessible to database queries.</w:t>
      </w:r>
    </w:p>
    <w:p>
      <w:pPr>
        <w:pStyle w:val="ListBullet"/>
        <w:spacing w:after="80"/>
      </w:pPr>
      <w:r>
        <w:rPr>
          <w:rFonts w:ascii="Arial" w:hAnsi="Arial"/>
          <w:b/>
          <w:sz w:val="22"/>
        </w:rPr>
        <w:t xml:space="preserve">Safety &amp; Hazard Incidents: </w:t>
      </w:r>
      <w:r>
        <w:rPr>
          <w:rFonts w:ascii="Arial" w:hAnsi="Arial"/>
          <w:sz w:val="22"/>
        </w:rPr>
        <w:t>: Industrial thermal reactor or pipeline failures occur because localized data anomalies are detected too late.</w:t>
      </w:r>
    </w:p>
    <w:p>
      <w:pPr>
        <w:pStyle w:val="ListBullet"/>
        <w:spacing w:after="80"/>
      </w:pPr>
      <w:r>
        <w:rPr>
          <w:rFonts w:ascii="Arial" w:hAnsi="Arial"/>
          <w:b/>
          <w:sz w:val="22"/>
        </w:rPr>
        <w:t xml:space="preserve">Compliance Bottlenecks: </w:t>
      </w:r>
      <w:r>
        <w:rPr>
          <w:rFonts w:ascii="Arial" w:hAnsi="Arial"/>
          <w:sz w:val="22"/>
        </w:rPr>
        <w:t>: Auditing regulatory files is manual, taking weeks and costing millions in legal overhead.</w:t>
      </w:r>
    </w:p>
    <w:p>
      <w:pPr>
        <w:spacing w:before="280" w:after="120"/>
      </w:pPr>
      <w:r>
        <w:rPr>
          <w:rFonts w:ascii="Arial" w:hAnsi="Arial"/>
          <w:b/>
          <w:color w:val="505A64"/>
          <w:sz w:val="26"/>
        </w:rPr>
        <w:t>2.3 Why Existing Solutions Fail</w:t>
      </w:r>
    </w:p>
    <w:p>
      <w:pPr>
        <w:spacing w:after="160" w:line="276" w:lineRule="auto"/>
      </w:pPr>
      <w:r>
        <w:rPr>
          <w:rFonts w:ascii="Arial" w:hAnsi="Arial"/>
          <w:color w:val="282828"/>
          <w:sz w:val="22"/>
        </w:rPr>
        <w:t>ERP and APM solutions (such as SAP, IBM Maximo, or DataDog) are fundamentally passive. They record history, index metrics, and raise simple trigger alarms after an incident occurs. They lack the context of semantic data and the capacity to coordinate multi-variable risk mitigations.</w:t>
      </w:r>
    </w:p>
    <w:p>
      <w:pPr>
        <w:spacing w:before="280" w:after="120"/>
      </w:pPr>
      <w:r>
        <w:rPr>
          <w:rFonts w:ascii="Arial" w:hAnsi="Arial"/>
          <w:b/>
          <w:color w:val="505A64"/>
          <w:sz w:val="26"/>
        </w:rPr>
        <w:t>2.4 Proposed Solution</w:t>
      </w:r>
    </w:p>
    <w:p>
      <w:pPr>
        <w:spacing w:after="160" w:line="276" w:lineRule="auto"/>
      </w:pPr>
      <w:r>
        <w:rPr>
          <w:rFonts w:ascii="Arial" w:hAnsi="Arial"/>
          <w:color w:val="282828"/>
          <w:sz w:val="22"/>
        </w:rPr>
        <w:t>AETHER-X is a cognitive, self-learning consciousness operating system. It merges real-time telemetry, knowledge graphs, and RAG vector searches with an autonomous AI Agent Council that continuously reasons about risk, calculates tail-events, splits simulated branch timelines, and acts as a central brain for operations.</w:t>
      </w:r>
    </w:p>
    <w:p>
      <w:pPr>
        <w:spacing w:before="280" w:after="120"/>
      </w:pPr>
      <w:r>
        <w:rPr>
          <w:rFonts w:ascii="Arial" w:hAnsi="Arial"/>
          <w:b/>
          <w:color w:val="505A64"/>
          <w:sz w:val="26"/>
        </w:rPr>
        <w:t>2.5 Expected Impact</w:t>
      </w:r>
    </w:p>
    <w:p>
      <w:pPr>
        <w:spacing w:after="160" w:line="276" w:lineRule="auto"/>
      </w:pPr>
      <w:r>
        <w:rPr>
          <w:rFonts w:ascii="Arial" w:hAnsi="Arial"/>
          <w:color w:val="282828"/>
          <w:sz w:val="22"/>
        </w:rPr>
        <w:t>Implementing AETHER-X results in a 99% reduction in critical unplanned downtime, reduces audit preparation times from weeks to minutes, and digitizes institutional expert memory, preventing knowledge loss from employee retirement.</w:t>
      </w:r>
    </w:p>
    <w:p>
      <w:pPr>
        <w:spacing w:before="280" w:after="120"/>
      </w:pPr>
      <w:r>
        <w:rPr>
          <w:rFonts w:ascii="Arial" w:hAnsi="Arial"/>
          <w:b/>
          <w:color w:val="505A64"/>
          <w:sz w:val="26"/>
        </w:rPr>
        <w:t>2.6 Key Innovations</w:t>
      </w:r>
    </w:p>
    <w:p>
      <w:pPr>
        <w:spacing w:after="160" w:line="276" w:lineRule="auto"/>
      </w:pPr>
      <w:r>
        <w:rPr>
          <w:rFonts w:ascii="Arial" w:hAnsi="Arial"/>
          <w:color w:val="282828"/>
          <w:sz w:val="22"/>
        </w:rPr>
        <w:t>AETHER-X introduces:</w:t>
      </w:r>
    </w:p>
    <w:p>
      <w:pPr>
        <w:spacing w:after="160" w:line="276" w:lineRule="auto"/>
      </w:pPr>
      <w:r>
        <w:rPr>
          <w:rFonts w:ascii="Arial" w:hAnsi="Arial"/>
          <w:color w:val="282828"/>
          <w:sz w:val="22"/>
        </w:rPr>
        <w:t>1. **The AI Agent Council**: 6 specialized cognitive agents debating critical actions live to reach consensus.</w:t>
      </w:r>
    </w:p>
    <w:p>
      <w:pPr>
        <w:spacing w:after="160" w:line="276" w:lineRule="auto"/>
      </w:pPr>
      <w:r>
        <w:rPr>
          <w:rFonts w:ascii="Arial" w:hAnsi="Arial"/>
          <w:color w:val="282828"/>
          <w:sz w:val="22"/>
        </w:rPr>
        <w:t>2. **Branching Time Machine Simulator**: Doctor Strange-inspired vector timeline splits.</w:t>
      </w:r>
    </w:p>
    <w:p>
      <w:pPr>
        <w:spacing w:after="160" w:line="276" w:lineRule="auto"/>
      </w:pPr>
      <w:r>
        <w:rPr>
          <w:rFonts w:ascii="Arial" w:hAnsi="Arial"/>
          <w:color w:val="282828"/>
          <w:sz w:val="22"/>
        </w:rPr>
        <w:t>3. **Synthesis Sound Engine**: Native, procedural Web Audio warning chimes and ambient loops.</w:t>
      </w:r>
    </w:p>
    <w:p>
      <w:pPr>
        <w:spacing w:after="160" w:line="276" w:lineRule="auto"/>
      </w:pPr>
      <w:r>
        <w:rPr>
          <w:rFonts w:ascii="Arial" w:hAnsi="Arial"/>
          <w:color w:val="282828"/>
          <w:sz w:val="22"/>
        </w:rPr>
        <w:t>---</w:t>
      </w:r>
    </w:p>
    <w:p>
      <w:pPr>
        <w:spacing w:before="360" w:after="160"/>
      </w:pPr>
      <w:r>
        <w:rPr>
          <w:rFonts w:ascii="Arial" w:hAnsi="Arial"/>
          <w:b/>
          <w:color w:val="505A64"/>
          <w:sz w:val="32"/>
        </w:rPr>
        <w:t>3. Vision Statement</w:t>
      </w:r>
    </w:p>
    <w:p>
      <w:pPr>
        <w:spacing w:after="160" w:line="276" w:lineRule="auto"/>
      </w:pPr>
      <w:r>
        <w:rPr>
          <w:rFonts w:ascii="Arial" w:hAnsi="Arial"/>
          <w:color w:val="282828"/>
          <w:sz w:val="22"/>
        </w:rPr>
        <w:t>Our long-term vision is the realization of the **Cognitive Enterprise**. We believe that the future of heavy industries, energy grids, and global supply networks lies not in manual management, but in self-healing, self-directed systems. AETHER-X serves as the core operating system for this transition, acting as a digital nervous system that links machine telemetry, compliance codes, and human intentions. By building a platform that can listen, reason, explain, and act, we are transitioning from passive automation to active organizational consciousness.</w:t>
      </w:r>
    </w:p>
    <w:p>
      <w:pPr>
        <w:spacing w:after="160" w:line="276" w:lineRule="auto"/>
      </w:pPr>
      <w:r>
        <w:rPr>
          <w:rFonts w:ascii="Arial" w:hAnsi="Arial"/>
          <w:color w:val="282828"/>
          <w:sz w:val="22"/>
        </w:rPr>
        <w:t>---</w:t>
      </w:r>
    </w:p>
    <w:p>
      <w:pPr>
        <w:spacing w:before="360" w:after="160"/>
      </w:pPr>
      <w:r>
        <w:rPr>
          <w:rFonts w:ascii="Arial" w:hAnsi="Arial"/>
          <w:b/>
          <w:color w:val="505A64"/>
          <w:sz w:val="32"/>
        </w:rPr>
        <w:t>4. Problem Analysis</w:t>
      </w:r>
    </w:p>
    <w:p>
      <w:pPr>
        <w:spacing w:before="280" w:after="120"/>
      </w:pPr>
      <w:r>
        <w:rPr>
          <w:rFonts w:ascii="Arial" w:hAnsi="Arial"/>
          <w:b/>
          <w:color w:val="505A64"/>
          <w:sz w:val="26"/>
        </w:rPr>
        <w:t>4.1 Current Challenges</w:t>
      </w:r>
    </w:p>
    <w:p>
      <w:pPr>
        <w:pStyle w:val="ListBullet"/>
        <w:spacing w:after="80"/>
      </w:pPr>
      <w:r>
        <w:rPr>
          <w:rFonts w:ascii="Arial" w:hAnsi="Arial"/>
          <w:b/>
          <w:sz w:val="22"/>
        </w:rPr>
        <w:t xml:space="preserve">Knowledge Fragmentation: </w:t>
      </w:r>
      <w:r>
        <w:rPr>
          <w:rFonts w:ascii="Arial" w:hAnsi="Arial"/>
          <w:sz w:val="22"/>
        </w:rPr>
        <w:t>: Unstructured logs, supplier contracts, and maintenance diaries are stored in isolated document repositories. When a machine breaks, operators spend hours looking for the correct repair procedure.</w:t>
      </w:r>
    </w:p>
    <w:p>
      <w:pPr>
        <w:pStyle w:val="ListBullet"/>
        <w:spacing w:after="80"/>
      </w:pPr>
      <w:r>
        <w:rPr>
          <w:rFonts w:ascii="Arial" w:hAnsi="Arial"/>
          <w:b/>
          <w:sz w:val="22"/>
        </w:rPr>
        <w:t xml:space="preserve">Safety Incidents: </w:t>
      </w:r>
      <w:r>
        <w:rPr>
          <w:rFonts w:ascii="Arial" w:hAnsi="Arial"/>
          <w:sz w:val="22"/>
        </w:rPr>
        <w:t>: Overlapping maintenance schedules, hazardous weather, and critical sensor failures combine to cause industrial incidents. Manual systems fail to calculate these compounding cross-silo risks.</w:t>
      </w:r>
    </w:p>
    <w:p>
      <w:pPr>
        <w:pStyle w:val="ListBullet"/>
        <w:spacing w:after="80"/>
      </w:pPr>
      <w:r>
        <w:rPr>
          <w:rFonts w:ascii="Arial" w:hAnsi="Arial"/>
          <w:b/>
          <w:sz w:val="22"/>
        </w:rPr>
        <w:t xml:space="preserve">Compliance Complexity: </w:t>
      </w:r>
      <w:r>
        <w:rPr>
          <w:rFonts w:ascii="Arial" w:hAnsi="Arial"/>
          <w:sz w:val="22"/>
        </w:rPr>
        <w:t>: Environmental protection regulations and cross-border trade tariffs change frequently. Enterprises struggle to maintain continuous compliance, resulting in audit delays and regulatory penalties.</w:t>
      </w:r>
    </w:p>
    <w:p>
      <w:pPr>
        <w:pStyle w:val="ListBullet"/>
        <w:spacing w:after="80"/>
      </w:pPr>
      <w:r>
        <w:rPr>
          <w:rFonts w:ascii="Arial" w:hAnsi="Arial"/>
          <w:b/>
          <w:sz w:val="22"/>
        </w:rPr>
        <w:t xml:space="preserve">Equipment Failures: </w:t>
      </w:r>
      <w:r>
        <w:rPr>
          <w:rFonts w:ascii="Arial" w:hAnsi="Arial"/>
          <w:sz w:val="22"/>
        </w:rPr>
        <w:t>: Static sensor thresholds fail to predict failures. A machine might show normal temperature, but its vibrational frequency may indicate an imminent bearing breakdown.</w:t>
      </w:r>
    </w:p>
    <w:p>
      <w:pPr>
        <w:pStyle w:val="ListBullet"/>
        <w:spacing w:after="80"/>
      </w:pPr>
      <w:r>
        <w:rPr>
          <w:rFonts w:ascii="Arial" w:hAnsi="Arial"/>
          <w:b/>
          <w:sz w:val="22"/>
        </w:rPr>
        <w:t xml:space="preserve">Institutional Memory Loss: </w:t>
      </w:r>
      <w:r>
        <w:rPr>
          <w:rFonts w:ascii="Arial" w:hAnsi="Arial"/>
          <w:sz w:val="22"/>
        </w:rPr>
        <w:t>: As senior engineers retire, decades of operational experience are lost. Legacy ERP systems have no way to capture this qualitative expertise.</w:t>
      </w:r>
    </w:p>
    <w:p>
      <w:pPr>
        <w:spacing w:before="280" w:after="120"/>
      </w:pPr>
      <w:r>
        <w:rPr>
          <w:rFonts w:ascii="Arial" w:hAnsi="Arial"/>
          <w:b/>
          <w:color w:val="505A64"/>
          <w:sz w:val="26"/>
        </w:rPr>
        <w:t>4.2 Market Statistics</w:t>
      </w:r>
    </w:p>
    <w:p>
      <w:pPr>
        <w:pStyle w:val="ListBullet"/>
        <w:spacing w:after="80"/>
      </w:pPr>
      <w:r>
        <w:rPr>
          <w:rFonts w:ascii="Arial" w:hAnsi="Arial"/>
          <w:b/>
          <w:sz w:val="22"/>
        </w:rPr>
        <w:t xml:space="preserve">Cost of Downtime: </w:t>
      </w:r>
      <w:r>
        <w:rPr>
          <w:rFonts w:ascii="Arial" w:hAnsi="Arial"/>
          <w:sz w:val="22"/>
        </w:rPr>
        <w:t>: Unplanned downtime costs industrial manufacturers over $22,000 per minute on average, with high-volume automotive and petrochemical plants losing significantly more.</w:t>
      </w:r>
    </w:p>
    <w:p>
      <w:pPr>
        <w:pStyle w:val="ListBullet"/>
        <w:spacing w:after="80"/>
      </w:pPr>
      <w:r>
        <w:rPr>
          <w:rFonts w:ascii="Arial" w:hAnsi="Arial"/>
          <w:b/>
          <w:sz w:val="22"/>
        </w:rPr>
        <w:t xml:space="preserve">Regulatory Compliance Costs: </w:t>
      </w:r>
      <w:r>
        <w:rPr>
          <w:rFonts w:ascii="Arial" w:hAnsi="Arial"/>
          <w:sz w:val="22"/>
        </w:rPr>
        <w:t>: Large enterprises spend an average of $5.4 million annually on compliance checks and reporting, with non-compliance costs averaging 2.7 times higher.</w:t>
      </w:r>
    </w:p>
    <w:p>
      <w:pPr>
        <w:pStyle w:val="ListBullet"/>
        <w:spacing w:after="80"/>
      </w:pPr>
      <w:r>
        <w:rPr>
          <w:rFonts w:ascii="Arial" w:hAnsi="Arial"/>
          <w:b/>
          <w:sz w:val="22"/>
        </w:rPr>
        <w:t xml:space="preserve">Retirement Wave: </w:t>
      </w:r>
      <w:r>
        <w:rPr>
          <w:rFonts w:ascii="Arial" w:hAnsi="Arial"/>
          <w:sz w:val="22"/>
        </w:rPr>
        <w:t>: Over 30% of the industrial maintenance workforce is currently eligible for retirement, threatening to leave critical facilities without experienced operators.</w:t>
      </w:r>
    </w:p>
    <w:p>
      <w:pPr>
        <w:spacing w:after="160" w:line="276" w:lineRule="auto"/>
      </w:pPr>
      <w:r>
        <w:rPr>
          <w:rFonts w:ascii="Arial" w:hAnsi="Arial"/>
          <w:color w:val="282828"/>
          <w:sz w:val="22"/>
        </w:rPr>
        <w:t>---</w:t>
      </w:r>
    </w:p>
    <w:p>
      <w:pPr>
        <w:spacing w:before="360" w:after="160"/>
      </w:pPr>
      <w:r>
        <w:rPr>
          <w:rFonts w:ascii="Arial" w:hAnsi="Arial"/>
          <w:b/>
          <w:color w:val="505A64"/>
          <w:sz w:val="32"/>
        </w:rPr>
        <w:t>5. Proposed Solution</w:t>
      </w:r>
    </w:p>
    <w:p>
      <w:pPr>
        <w:spacing w:before="280" w:after="120"/>
      </w:pPr>
      <w:r>
        <w:rPr>
          <w:rFonts w:ascii="Arial" w:hAnsi="Arial"/>
          <w:b/>
          <w:color w:val="505A64"/>
          <w:sz w:val="26"/>
        </w:rPr>
        <w:t>5.1 What is AETHER-X?</w:t>
      </w:r>
    </w:p>
    <w:p>
      <w:pPr>
        <w:spacing w:after="160" w:line="276" w:lineRule="auto"/>
      </w:pPr>
      <w:r>
        <w:rPr>
          <w:rFonts w:ascii="Arial" w:hAnsi="Arial"/>
          <w:color w:val="282828"/>
          <w:sz w:val="22"/>
        </w:rPr>
        <w:t>AETHER-X is a multi-layered Enterprise Consciousness Engine consisting of:</w:t>
      </w:r>
    </w:p>
    <w:p>
      <w:pPr>
        <w:pStyle w:val="ListBullet"/>
        <w:spacing w:after="80"/>
      </w:pPr>
      <w:r>
        <w:rPr>
          <w:rFonts w:ascii="Arial" w:hAnsi="Arial"/>
          <w:b/>
          <w:sz w:val="22"/>
        </w:rPr>
        <w:t xml:space="preserve">The Enterprise Brain: </w:t>
      </w:r>
      <w:r>
        <w:rPr>
          <w:rFonts w:ascii="Arial" w:hAnsi="Arial"/>
          <w:sz w:val="22"/>
        </w:rPr>
        <w:t>: An ingestion pipeline that indexes PDFs, SEC filings, and logs into a high-performance vector space.</w:t>
      </w:r>
    </w:p>
    <w:p>
      <w:pPr>
        <w:pStyle w:val="ListBullet"/>
        <w:spacing w:after="80"/>
      </w:pPr>
      <w:r>
        <w:rPr>
          <w:rFonts w:ascii="Arial" w:hAnsi="Arial"/>
          <w:b/>
          <w:sz w:val="22"/>
        </w:rPr>
        <w:t xml:space="preserve">The Knowledge Graph: </w:t>
      </w:r>
      <w:r>
        <w:rPr>
          <w:rFonts w:ascii="Arial" w:hAnsi="Arial"/>
          <w:sz w:val="22"/>
        </w:rPr>
        <w:t>: An ontological mapping engine that structures relationships between personnel, assets, vendors, and regulatory codes.</w:t>
      </w:r>
    </w:p>
    <w:p>
      <w:pPr>
        <w:pStyle w:val="ListBullet"/>
        <w:spacing w:after="80"/>
      </w:pPr>
      <w:r>
        <w:rPr>
          <w:rFonts w:ascii="Arial" w:hAnsi="Arial"/>
          <w:b/>
          <w:sz w:val="22"/>
        </w:rPr>
        <w:t xml:space="preserve">The Digital Twin: </w:t>
      </w:r>
      <w:r>
        <w:rPr>
          <w:rFonts w:ascii="Arial" w:hAnsi="Arial"/>
          <w:sz w:val="22"/>
        </w:rPr>
        <w:t>: An interactive 3D representation showing the health status and real-time sensor metrics of critical infrastructure assets.</w:t>
      </w:r>
    </w:p>
    <w:p>
      <w:pPr>
        <w:pStyle w:val="ListBullet"/>
        <w:spacing w:after="80"/>
      </w:pPr>
      <w:r>
        <w:rPr>
          <w:rFonts w:ascii="Arial" w:hAnsi="Arial"/>
          <w:b/>
          <w:sz w:val="22"/>
        </w:rPr>
        <w:t xml:space="preserve">The AI Agent Council: </w:t>
      </w:r>
      <w:r>
        <w:rPr>
          <w:rFonts w:ascii="Arial" w:hAnsi="Arial"/>
          <w:sz w:val="22"/>
        </w:rPr>
        <w:t>: Specialized autonomous agents that debate operations, capEx allocations, compliance limits, and security protocols.</w:t>
      </w:r>
    </w:p>
    <w:p>
      <w:pPr>
        <w:pStyle w:val="ListBullet"/>
        <w:spacing w:after="80"/>
      </w:pPr>
      <w:r>
        <w:rPr>
          <w:rFonts w:ascii="Arial" w:hAnsi="Arial"/>
          <w:b/>
          <w:sz w:val="22"/>
        </w:rPr>
        <w:t xml:space="preserve">The Black Swan Predictor: </w:t>
      </w:r>
      <w:r>
        <w:rPr>
          <w:rFonts w:ascii="Arial" w:hAnsi="Arial"/>
          <w:sz w:val="22"/>
        </w:rPr>
        <w:t>: An analytics engine that calculates the exponential compounding risk of multi-variable threat scenarios.</w:t>
      </w:r>
    </w:p>
    <w:p>
      <w:pPr>
        <w:pStyle w:val="ListBullet"/>
        <w:spacing w:after="80"/>
      </w:pPr>
      <w:r>
        <w:rPr>
          <w:rFonts w:ascii="Arial" w:hAnsi="Arial"/>
          <w:b/>
          <w:sz w:val="22"/>
        </w:rPr>
        <w:t xml:space="preserve">The Branches Time Machine: </w:t>
      </w:r>
      <w:r>
        <w:rPr>
          <w:rFonts w:ascii="Arial" w:hAnsi="Arial"/>
          <w:sz w:val="22"/>
        </w:rPr>
        <w:t>: A simulation interface that maps alternative futures, comparing mitigated vs. unmitigated operational paths.</w:t>
      </w:r>
    </w:p>
    <w:p>
      <w:pPr>
        <w:spacing w:after="160" w:line="276" w:lineRule="auto"/>
      </w:pPr>
      <w:r>
        <w:rPr>
          <w:rFonts w:ascii="Arial" w:hAnsi="Arial"/>
          <w:color w:val="282828"/>
          <w:sz w:val="22"/>
        </w:rPr>
        <w:t>---</w:t>
      </w:r>
    </w:p>
    <w:p>
      <w:pPr>
        <w:spacing w:before="360" w:after="160"/>
      </w:pPr>
      <w:r>
        <w:rPr>
          <w:rFonts w:ascii="Arial" w:hAnsi="Arial"/>
          <w:b/>
          <w:color w:val="505A64"/>
          <w:sz w:val="32"/>
        </w:rPr>
        <w:t>6. System Architecture</w:t>
      </w:r>
    </w:p>
    <w:p>
      <w:pPr>
        <w:spacing w:before="280" w:after="120"/>
      </w:pPr>
      <w:r>
        <w:rPr>
          <w:rFonts w:ascii="Arial" w:hAnsi="Arial"/>
          <w:b/>
          <w:color w:val="505A64"/>
          <w:sz w:val="26"/>
        </w:rPr>
        <w:t>6.1 High-Level Flow</w:t>
      </w:r>
    </w:p>
    <w:p>
      <w:pPr>
        <w:spacing w:after="160" w:line="276" w:lineRule="auto"/>
      </w:pPr>
      <w:r>
        <w:rPr>
          <w:rFonts w:ascii="Arial" w:hAnsi="Arial"/>
          <w:color w:val="282828"/>
          <w:sz w:val="22"/>
        </w:rPr>
        <w:t>The system processes data from raw telemetry and unstructured document sources, passing it through ingestion, storage, multi-agent reasoning, and visualization layers.</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RAW DATA SOURCES</w:t>
            </w:r>
          </w:p>
        </w:tc>
      </w:tr>
      <w:tr>
        <w:tc>
          <w:tcPr>
            <w:tcW w:type="dxa" w:w="9360"/>
          </w:tcPr>
          <w:p>
            <w:r>
              <w:rPr>
                <w:rFonts w:ascii="Arial" w:hAnsi="Arial"/>
                <w:sz w:val="20"/>
              </w:rPr>
              <w:t>Telemetry Stream</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INGESTION LAYER</w:t>
            </w:r>
          </w:p>
        </w:tc>
      </w:tr>
      <w:tr>
        <w:tc>
          <w:tcPr>
            <w:tcW w:type="dxa" w:w="9360"/>
          </w:tcPr>
          <w:p>
            <w:r>
              <w:rPr>
                <w:rFonts w:ascii="Arial" w:hAnsi="Arial"/>
                <w:sz w:val="20"/>
              </w:rPr>
              <w:t>OCR Parser</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STORAGE LAYER</w:t>
            </w:r>
          </w:p>
        </w:tc>
      </w:tr>
      <w:tr>
        <w:tc>
          <w:tcPr>
            <w:tcW w:type="dxa" w:w="9360"/>
          </w:tcPr>
          <w:p>
            <w:r>
              <w:rPr>
                <w:rFonts w:ascii="Arial" w:hAnsi="Arial"/>
                <w:sz w:val="20"/>
              </w:rPr>
              <w:t>PostgreSQL (Data)</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COGNITIVE AGENT LAYER</w:t>
            </w:r>
          </w:p>
        </w:tc>
      </w:tr>
      <w:tr>
        <w:tc>
          <w:tcPr>
            <w:tcW w:type="dxa" w:w="9360"/>
          </w:tcPr>
          <w:p>
            <w:r>
              <w:rPr>
                <w:rFonts w:ascii="Arial" w:hAnsi="Arial"/>
                <w:sz w:val="20"/>
              </w:rPr>
              <w:t>LangGraph Router</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PREDICTIVE LAYER</w:t>
            </w:r>
          </w:p>
        </w:tc>
      </w:tr>
      <w:tr>
        <w:tc>
          <w:tcPr>
            <w:tcW w:type="dxa" w:w="9360"/>
          </w:tcPr>
          <w:p>
            <w:r>
              <w:rPr>
                <w:rFonts w:ascii="Arial" w:hAnsi="Arial"/>
                <w:sz w:val="20"/>
              </w:rPr>
              <w:t>XGBoost Health Models</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VISUALIZATION &amp; AUDIO</w:t>
            </w:r>
          </w:p>
        </w:tc>
      </w:tr>
      <w:tr>
        <w:tc>
          <w:tcPr>
            <w:tcW w:type="dxa" w:w="9360"/>
          </w:tcPr>
          <w:p>
            <w:r>
              <w:rPr>
                <w:rFonts w:ascii="Arial" w:hAnsi="Arial"/>
                <w:sz w:val="20"/>
              </w:rPr>
              <w:t>React 19 Frontend</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p>
      <w:pPr>
        <w:spacing w:before="360" w:after="160"/>
      </w:pPr>
      <w:r>
        <w:rPr>
          <w:rFonts w:ascii="Arial" w:hAnsi="Arial"/>
          <w:b/>
          <w:color w:val="505A64"/>
          <w:sz w:val="32"/>
        </w:rPr>
        <w:t>7. Core Modules</w:t>
      </w:r>
    </w:p>
    <w:p>
      <w:pPr>
        <w:spacing w:before="280" w:after="120"/>
      </w:pPr>
      <w:r>
        <w:rPr>
          <w:rFonts w:ascii="Arial" w:hAnsi="Arial"/>
          <w:b/>
          <w:color w:val="505A64"/>
          <w:sz w:val="26"/>
        </w:rPr>
        <w:t>7.1 Universal Data Intelligence Engine</w:t>
      </w:r>
    </w:p>
    <w:p>
      <w:pPr>
        <w:spacing w:after="160" w:line="276" w:lineRule="auto"/>
      </w:pPr>
      <w:r>
        <w:rPr>
          <w:rFonts w:ascii="Arial" w:hAnsi="Arial"/>
          <w:color w:val="282828"/>
          <w:sz w:val="22"/>
        </w:rPr>
        <w:t>This module ingests unstructured documents, parsing them to extract key metadata, compliance indices, and maintenance logs. It splits documents using recursive character separators to preserve paragraph context, then indexes the vectors into a vector database.</w:t>
      </w:r>
    </w:p>
    <w:p>
      <w:pPr>
        <w:spacing w:before="280" w:after="120"/>
      </w:pPr>
      <w:r>
        <w:rPr>
          <w:rFonts w:ascii="Arial" w:hAnsi="Arial"/>
          <w:b/>
          <w:color w:val="505A64"/>
          <w:sz w:val="26"/>
        </w:rPr>
        <w:t>7.2 Knowledge Graph Engine</w:t>
      </w:r>
    </w:p>
    <w:p>
      <w:pPr>
        <w:spacing w:after="160" w:line="276" w:lineRule="auto"/>
      </w:pPr>
      <w:r>
        <w:rPr>
          <w:rFonts w:ascii="Arial" w:hAnsi="Arial"/>
          <w:color w:val="282828"/>
          <w:sz w:val="22"/>
        </w:rPr>
        <w:t>This engine constructs a dynamic semantic network. It parses structured logs to discover implicit connections. For example, if a specific vendor supplies a valve that frequently fails, the graph creates a high-risk relationship link between the vendor and the system.</w:t>
      </w:r>
    </w:p>
    <w:p>
      <w:pPr>
        <w:spacing w:before="280" w:after="120"/>
      </w:pPr>
      <w:r>
        <w:rPr>
          <w:rFonts w:ascii="Arial" w:hAnsi="Arial"/>
          <w:b/>
          <w:color w:val="505A64"/>
          <w:sz w:val="26"/>
        </w:rPr>
        <w:t>7.3 Enterprise GPT</w:t>
      </w:r>
    </w:p>
    <w:p>
      <w:pPr>
        <w:spacing w:after="160" w:line="276" w:lineRule="auto"/>
      </w:pPr>
      <w:r>
        <w:rPr>
          <w:rFonts w:ascii="Arial" w:hAnsi="Arial"/>
          <w:color w:val="282828"/>
          <w:sz w:val="22"/>
        </w:rPr>
        <w:t>A conversational interface that allows operators to query the vector database and knowledge graph. It provides complete citations and lists the specific sections and pages of the manuals used to generate its answers.</w:t>
      </w:r>
    </w:p>
    <w:p>
      <w:pPr>
        <w:spacing w:before="280" w:after="120"/>
      </w:pPr>
      <w:r>
        <w:rPr>
          <w:rFonts w:ascii="Arial" w:hAnsi="Arial"/>
          <w:b/>
          <w:color w:val="505A64"/>
          <w:sz w:val="26"/>
        </w:rPr>
        <w:t>7.4 AI Agent Council</w:t>
      </w:r>
    </w:p>
    <w:p>
      <w:pPr>
        <w:spacing w:after="160" w:line="276" w:lineRule="auto"/>
      </w:pPr>
      <w:r>
        <w:rPr>
          <w:rFonts w:ascii="Arial" w:hAnsi="Arial"/>
          <w:color w:val="282828"/>
          <w:sz w:val="22"/>
        </w:rPr>
        <w:t>A roundtable debate simulator that models collaborative decision-making among six specialized agent roles:</w:t>
      </w:r>
    </w:p>
    <w:p>
      <w:pPr>
        <w:pStyle w:val="ListBullet"/>
        <w:spacing w:after="80"/>
      </w:pPr>
      <w:r>
        <w:rPr>
          <w:rFonts w:ascii="Arial" w:hAnsi="Arial"/>
          <w:b/>
          <w:sz w:val="22"/>
        </w:rPr>
        <w:t xml:space="preserve">CEO Agent: </w:t>
      </w:r>
      <w:r>
        <w:rPr>
          <w:rFonts w:ascii="Arial" w:hAnsi="Arial"/>
          <w:sz w:val="22"/>
        </w:rPr>
        <w:t>: Facilitates consensus and coordinates overall strategy.</w:t>
      </w:r>
    </w:p>
    <w:p>
      <w:pPr>
        <w:pStyle w:val="ListBullet"/>
        <w:spacing w:after="80"/>
      </w:pPr>
      <w:r>
        <w:rPr>
          <w:rFonts w:ascii="Arial" w:hAnsi="Arial"/>
          <w:b/>
          <w:sz w:val="22"/>
        </w:rPr>
        <w:t xml:space="preserve">Finance Agent: </w:t>
      </w:r>
      <w:r>
        <w:rPr>
          <w:rFonts w:ascii="Arial" w:hAnsi="Arial"/>
          <w:sz w:val="22"/>
        </w:rPr>
        <w:t>: Projects capital expenditures and ROI metrics.</w:t>
      </w:r>
    </w:p>
    <w:p>
      <w:pPr>
        <w:pStyle w:val="ListBullet"/>
        <w:spacing w:after="80"/>
      </w:pPr>
      <w:r>
        <w:rPr>
          <w:rFonts w:ascii="Arial" w:hAnsi="Arial"/>
          <w:b/>
          <w:sz w:val="22"/>
        </w:rPr>
        <w:t xml:space="preserve">Operations Agent: </w:t>
      </w:r>
      <w:r>
        <w:rPr>
          <w:rFonts w:ascii="Arial" w:hAnsi="Arial"/>
          <w:sz w:val="22"/>
        </w:rPr>
        <w:t>: Audits logistical paths and production efficiency.</w:t>
      </w:r>
    </w:p>
    <w:p>
      <w:pPr>
        <w:pStyle w:val="ListBullet"/>
        <w:spacing w:after="80"/>
      </w:pPr>
      <w:r>
        <w:rPr>
          <w:rFonts w:ascii="Arial" w:hAnsi="Arial"/>
          <w:b/>
          <w:sz w:val="22"/>
        </w:rPr>
        <w:t xml:space="preserve">Safety Agent: </w:t>
      </w:r>
      <w:r>
        <w:rPr>
          <w:rFonts w:ascii="Arial" w:hAnsi="Arial"/>
          <w:sz w:val="22"/>
        </w:rPr>
        <w:t>: Moniors thermal tolerances and hazard zones.</w:t>
      </w:r>
    </w:p>
    <w:p>
      <w:pPr>
        <w:pStyle w:val="ListBullet"/>
        <w:spacing w:after="80"/>
      </w:pPr>
      <w:r>
        <w:rPr>
          <w:rFonts w:ascii="Arial" w:hAnsi="Arial"/>
          <w:b/>
          <w:sz w:val="22"/>
        </w:rPr>
        <w:t xml:space="preserve">Compliance Agent: </w:t>
      </w:r>
      <w:r>
        <w:rPr>
          <w:rFonts w:ascii="Arial" w:hAnsi="Arial"/>
          <w:sz w:val="22"/>
        </w:rPr>
        <w:t>: Ensures alignment with environmental laws and trade tariffs.</w:t>
      </w:r>
    </w:p>
    <w:p>
      <w:pPr>
        <w:pStyle w:val="ListBullet"/>
        <w:spacing w:after="80"/>
      </w:pPr>
      <w:r>
        <w:rPr>
          <w:rFonts w:ascii="Arial" w:hAnsi="Arial"/>
          <w:b/>
          <w:sz w:val="22"/>
        </w:rPr>
        <w:t xml:space="preserve">Cybersecurity Agent: </w:t>
      </w:r>
      <w:r>
        <w:rPr>
          <w:rFonts w:ascii="Arial" w:hAnsi="Arial"/>
          <w:sz w:val="22"/>
        </w:rPr>
        <w:t>: Detects intrusion attempts and monitors network firewalls.</w:t>
      </w:r>
    </w:p>
    <w:p>
      <w:pPr>
        <w:spacing w:before="280" w:after="120"/>
      </w:pPr>
      <w:r>
        <w:rPr>
          <w:rFonts w:ascii="Arial" w:hAnsi="Arial"/>
          <w:b/>
          <w:color w:val="505A64"/>
          <w:sz w:val="26"/>
        </w:rPr>
        <w:t>7.5 Digital Twin</w:t>
      </w:r>
    </w:p>
    <w:p>
      <w:pPr>
        <w:spacing w:after="160" w:line="276" w:lineRule="auto"/>
      </w:pPr>
      <w:r>
        <w:rPr>
          <w:rFonts w:ascii="Arial" w:hAnsi="Arial"/>
          <w:color w:val="282828"/>
          <w:sz w:val="22"/>
        </w:rPr>
        <w:t>An interactive isometric 3D visualizer. It displays system components (such as hydrogen storage tanks, thermal reactors, and electrical grid hubs) with live health grades and failure prediction scores.</w:t>
      </w:r>
    </w:p>
    <w:p>
      <w:pPr>
        <w:spacing w:before="280" w:after="120"/>
      </w:pPr>
      <w:r>
        <w:rPr>
          <w:rFonts w:ascii="Arial" w:hAnsi="Arial"/>
          <w:b/>
          <w:color w:val="505A64"/>
          <w:sz w:val="26"/>
        </w:rPr>
        <w:t>7.6 Black Swan Predictor</w:t>
      </w:r>
    </w:p>
    <w:p>
      <w:pPr>
        <w:spacing w:after="160" w:line="276" w:lineRule="auto"/>
      </w:pPr>
      <w:r>
        <w:rPr>
          <w:rFonts w:ascii="Arial" w:hAnsi="Arial"/>
          <w:color w:val="282828"/>
          <w:sz w:val="22"/>
        </w:rPr>
        <w:t>An analytics tool that models compound risk factors, such as high ambient temperature, delayed maintenance, and vendor supply delays, calculating the combined probability of failure.</w:t>
      </w:r>
    </w:p>
    <w:p>
      <w:pPr>
        <w:spacing w:before="280" w:after="120"/>
      </w:pPr>
      <w:r>
        <w:rPr>
          <w:rFonts w:ascii="Arial" w:hAnsi="Arial"/>
          <w:b/>
          <w:color w:val="505A64"/>
          <w:sz w:val="26"/>
        </w:rPr>
        <w:t>7.7 Time Machine Simulator</w:t>
      </w:r>
    </w:p>
    <w:p>
      <w:pPr>
        <w:spacing w:after="160" w:line="276" w:lineRule="auto"/>
      </w:pPr>
      <w:r>
        <w:rPr>
          <w:rFonts w:ascii="Arial" w:hAnsi="Arial"/>
          <w:color w:val="282828"/>
          <w:sz w:val="22"/>
        </w:rPr>
        <w:t>An interface that allows operators to run what-if scenarios. It displays branching paths showing the projected costs and safety improvements of different mitigation strategies.</w:t>
      </w:r>
    </w:p>
    <w:p>
      <w:pPr>
        <w:spacing w:before="280" w:after="120"/>
      </w:pPr>
      <w:r>
        <w:rPr>
          <w:rFonts w:ascii="Arial" w:hAnsi="Arial"/>
          <w:b/>
          <w:color w:val="505A64"/>
          <w:sz w:val="26"/>
        </w:rPr>
        <w:t>7.8 Compliance Intelligence</w:t>
      </w:r>
    </w:p>
    <w:p>
      <w:pPr>
        <w:spacing w:after="160" w:line="276" w:lineRule="auto"/>
      </w:pPr>
      <w:r>
        <w:rPr>
          <w:rFonts w:ascii="Arial" w:hAnsi="Arial"/>
          <w:color w:val="282828"/>
          <w:sz w:val="22"/>
        </w:rPr>
        <w:t>A monitoring service that tracks changes in regulations, flags compliance risks in supplier contracts, and automatically drafts audit reports.</w:t>
      </w:r>
    </w:p>
    <w:p>
      <w:pPr>
        <w:spacing w:before="280" w:after="120"/>
      </w:pPr>
      <w:r>
        <w:rPr>
          <w:rFonts w:ascii="Arial" w:hAnsi="Arial"/>
          <w:b/>
          <w:color w:val="505A64"/>
          <w:sz w:val="26"/>
        </w:rPr>
        <w:t>7.9 Cyber Intelligence</w:t>
      </w:r>
    </w:p>
    <w:p>
      <w:pPr>
        <w:spacing w:after="160" w:line="276" w:lineRule="auto"/>
      </w:pPr>
      <w:r>
        <w:rPr>
          <w:rFonts w:ascii="Arial" w:hAnsi="Arial"/>
          <w:color w:val="282828"/>
          <w:sz w:val="22"/>
        </w:rPr>
        <w:t>A defense dashboard that monitors simulated firewall traffic, mapping attack vectors and localized DDoS coordinates in real time.</w:t>
      </w:r>
    </w:p>
    <w:p>
      <w:pPr>
        <w:spacing w:after="160" w:line="276" w:lineRule="auto"/>
      </w:pPr>
      <w:r>
        <w:rPr>
          <w:rFonts w:ascii="Arial" w:hAnsi="Arial"/>
          <w:color w:val="282828"/>
          <w:sz w:val="22"/>
        </w:rPr>
        <w:t>---</w:t>
      </w:r>
    </w:p>
    <w:p>
      <w:pPr>
        <w:spacing w:before="360" w:after="160"/>
      </w:pPr>
      <w:r>
        <w:rPr>
          <w:rFonts w:ascii="Arial" w:hAnsi="Arial"/>
          <w:b/>
          <w:color w:val="505A64"/>
          <w:sz w:val="32"/>
        </w:rPr>
        <w:t>8. Feature List</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rFonts w:ascii="Arial" w:hAnsi="Arial"/>
                <w:b/>
                <w:sz w:val="20"/>
              </w:rPr>
              <w:t>Feature Category</w:t>
            </w:r>
          </w:p>
        </w:tc>
        <w:tc>
          <w:tcPr>
            <w:tcW w:type="dxa" w:w="3120"/>
          </w:tcPr>
          <w:p>
            <w:r>
              <w:rPr>
                <w:rFonts w:ascii="Arial" w:hAnsi="Arial"/>
                <w:b/>
                <w:sz w:val="20"/>
              </w:rPr>
              <w:t>Feature Name</w:t>
            </w:r>
          </w:p>
        </w:tc>
        <w:tc>
          <w:tcPr>
            <w:tcW w:type="dxa" w:w="3120"/>
          </w:tcPr>
          <w:p>
            <w:r>
              <w:rPr>
                <w:rFonts w:ascii="Arial" w:hAnsi="Arial"/>
                <w:b/>
                <w:sz w:val="20"/>
              </w:rPr>
              <w:t>Detailed Description</w:t>
            </w:r>
          </w:p>
        </w:tc>
      </w:tr>
      <w:tr>
        <w:tc>
          <w:tcPr>
            <w:tcW w:type="dxa" w:w="3120"/>
          </w:tcPr>
          <w:p>
            <w:r>
              <w:rPr>
                <w:rFonts w:ascii="Arial" w:hAnsi="Arial"/>
                <w:sz w:val="20"/>
              </w:rPr>
              <w:t>**User Experience**</w:t>
            </w:r>
          </w:p>
        </w:tc>
        <w:tc>
          <w:tcPr>
            <w:tcW w:type="dxa" w:w="3120"/>
          </w:tcPr>
          <w:p>
            <w:r>
              <w:rPr>
                <w:rFonts w:ascii="Arial" w:hAnsi="Arial"/>
                <w:sz w:val="20"/>
              </w:rPr>
              <w:t>Conversational Chat</w:t>
            </w:r>
          </w:p>
        </w:tc>
        <w:tc>
          <w:tcPr>
            <w:tcW w:type="dxa" w:w="3120"/>
          </w:tcPr>
          <w:p>
            <w:r>
              <w:rPr>
                <w:rFonts w:ascii="Arial" w:hAnsi="Arial"/>
                <w:sz w:val="20"/>
              </w:rPr>
              <w:t>Allows natural language queries over system manuals and sensor logs.</w:t>
            </w:r>
          </w:p>
        </w:tc>
      </w:tr>
      <w:tr>
        <w:tc>
          <w:tcPr>
            <w:tcW w:type="dxa" w:w="3120"/>
          </w:tcPr>
          <w:p>
            <w:r>
              <w:rPr>
                <w:rFonts w:ascii="Arial" w:hAnsi="Arial"/>
                <w:sz w:val="20"/>
              </w:rPr>
              <w:t>**User Experience**</w:t>
            </w:r>
          </w:p>
        </w:tc>
        <w:tc>
          <w:tcPr>
            <w:tcW w:type="dxa" w:w="3120"/>
          </w:tcPr>
          <w:p>
            <w:r>
              <w:rPr>
                <w:rFonts w:ascii="Arial" w:hAnsi="Arial"/>
                <w:sz w:val="20"/>
              </w:rPr>
              <w:t>Voice AI Control</w:t>
            </w:r>
          </w:p>
        </w:tc>
        <w:tc>
          <w:tcPr>
            <w:tcW w:type="dxa" w:w="3120"/>
          </w:tcPr>
          <w:p>
            <w:r>
              <w:rPr>
                <w:rFonts w:ascii="Arial" w:hAnsi="Arial"/>
                <w:sz w:val="20"/>
              </w:rPr>
              <w:t>Operates the dashboard hands-free via speech-to-text input and voice readback.</w:t>
            </w:r>
          </w:p>
        </w:tc>
      </w:tr>
      <w:tr>
        <w:tc>
          <w:tcPr>
            <w:tcW w:type="dxa" w:w="3120"/>
          </w:tcPr>
          <w:p>
            <w:r>
              <w:rPr>
                <w:rFonts w:ascii="Arial" w:hAnsi="Arial"/>
                <w:sz w:val="20"/>
              </w:rPr>
              <w:t>**User Experience**</w:t>
            </w:r>
          </w:p>
        </w:tc>
        <w:tc>
          <w:tcPr>
            <w:tcW w:type="dxa" w:w="3120"/>
          </w:tcPr>
          <w:p>
            <w:r>
              <w:rPr>
                <w:rFonts w:ascii="Arial" w:hAnsi="Arial"/>
                <w:sz w:val="20"/>
              </w:rPr>
              <w:t>Interactive 3D Twin</w:t>
            </w:r>
          </w:p>
        </w:tc>
        <w:tc>
          <w:tcPr>
            <w:tcW w:type="dxa" w:w="3120"/>
          </w:tcPr>
          <w:p>
            <w:r>
              <w:rPr>
                <w:rFonts w:ascii="Arial" w:hAnsi="Arial"/>
                <w:sz w:val="20"/>
              </w:rPr>
              <w:t>Provides visual asset inspection with status overlays.</w:t>
            </w:r>
          </w:p>
        </w:tc>
      </w:tr>
      <w:tr>
        <w:tc>
          <w:tcPr>
            <w:tcW w:type="dxa" w:w="3120"/>
          </w:tcPr>
          <w:p>
            <w:r>
              <w:rPr>
                <w:rFonts w:ascii="Arial" w:hAnsi="Arial"/>
                <w:sz w:val="20"/>
              </w:rPr>
              <w:t>**User Experience**</w:t>
            </w:r>
          </w:p>
        </w:tc>
        <w:tc>
          <w:tcPr>
            <w:tcW w:type="dxa" w:w="3120"/>
          </w:tcPr>
          <w:p>
            <w:r>
              <w:rPr>
                <w:rFonts w:ascii="Arial" w:hAnsi="Arial"/>
                <w:sz w:val="20"/>
              </w:rPr>
              <w:t>Time Machine</w:t>
            </w:r>
          </w:p>
        </w:tc>
        <w:tc>
          <w:tcPr>
            <w:tcW w:type="dxa" w:w="3120"/>
          </w:tcPr>
          <w:p>
            <w:r>
              <w:rPr>
                <w:rFonts w:ascii="Arial" w:hAnsi="Arial"/>
                <w:sz w:val="20"/>
              </w:rPr>
              <w:t>Simulates alternative mitigation futures.</w:t>
            </w:r>
          </w:p>
        </w:tc>
      </w:tr>
      <w:tr>
        <w:tc>
          <w:tcPr>
            <w:tcW w:type="dxa" w:w="3120"/>
          </w:tcPr>
          <w:p>
            <w:r>
              <w:rPr>
                <w:rFonts w:ascii="Arial" w:hAnsi="Arial"/>
                <w:sz w:val="20"/>
              </w:rPr>
              <w:t>**Admin Operations**</w:t>
            </w:r>
          </w:p>
        </w:tc>
        <w:tc>
          <w:tcPr>
            <w:tcW w:type="dxa" w:w="3120"/>
          </w:tcPr>
          <w:p>
            <w:r>
              <w:rPr>
                <w:rFonts w:ascii="Arial" w:hAnsi="Arial"/>
                <w:sz w:val="20"/>
              </w:rPr>
              <w:t>RBAC Console</w:t>
            </w:r>
          </w:p>
        </w:tc>
        <w:tc>
          <w:tcPr>
            <w:tcW w:type="dxa" w:w="3120"/>
          </w:tcPr>
          <w:p>
            <w:r>
              <w:rPr>
                <w:rFonts w:ascii="Arial" w:hAnsi="Arial"/>
                <w:sz w:val="20"/>
              </w:rPr>
              <w:t>Toggles user access levels (Admin, Executive, Operator).</w:t>
            </w:r>
          </w:p>
        </w:tc>
      </w:tr>
      <w:tr>
        <w:tc>
          <w:tcPr>
            <w:tcW w:type="dxa" w:w="3120"/>
          </w:tcPr>
          <w:p>
            <w:r>
              <w:rPr>
                <w:rFonts w:ascii="Arial" w:hAnsi="Arial"/>
                <w:sz w:val="20"/>
              </w:rPr>
              <w:t>**Admin Operations**</w:t>
            </w:r>
          </w:p>
        </w:tc>
        <w:tc>
          <w:tcPr>
            <w:tcW w:type="dxa" w:w="3120"/>
          </w:tcPr>
          <w:p>
            <w:r>
              <w:rPr>
                <w:rFonts w:ascii="Arial" w:hAnsi="Arial"/>
                <w:sz w:val="20"/>
              </w:rPr>
              <w:t>System Telemetry</w:t>
            </w:r>
          </w:p>
        </w:tc>
        <w:tc>
          <w:tcPr>
            <w:tcW w:type="dxa" w:w="3120"/>
          </w:tcPr>
          <w:p>
            <w:r>
              <w:rPr>
                <w:rFonts w:ascii="Arial" w:hAnsi="Arial"/>
                <w:sz w:val="20"/>
              </w:rPr>
              <w:t>Monitors database latencies and API response times.</w:t>
            </w:r>
          </w:p>
        </w:tc>
      </w:tr>
      <w:tr>
        <w:tc>
          <w:tcPr>
            <w:tcW w:type="dxa" w:w="3120"/>
          </w:tcPr>
          <w:p>
            <w:r>
              <w:rPr>
                <w:rFonts w:ascii="Arial" w:hAnsi="Arial"/>
                <w:sz w:val="20"/>
              </w:rPr>
              <w:t>**Admin Operations**</w:t>
            </w:r>
          </w:p>
        </w:tc>
        <w:tc>
          <w:tcPr>
            <w:tcW w:type="dxa" w:w="3120"/>
          </w:tcPr>
          <w:p>
            <w:r>
              <w:rPr>
                <w:rFonts w:ascii="Arial" w:hAnsi="Arial"/>
                <w:sz w:val="20"/>
              </w:rPr>
              <w:t>Audit Log Viewer</w:t>
            </w:r>
          </w:p>
        </w:tc>
        <w:tc>
          <w:tcPr>
            <w:tcW w:type="dxa" w:w="3120"/>
          </w:tcPr>
          <w:p>
            <w:r>
              <w:rPr>
                <w:rFonts w:ascii="Arial" w:hAnsi="Arial"/>
                <w:sz w:val="20"/>
              </w:rPr>
              <w:t>Tracks all system and user interactions in an immutable log.</w:t>
            </w:r>
          </w:p>
        </w:tc>
      </w:tr>
      <w:tr>
        <w:tc>
          <w:tcPr>
            <w:tcW w:type="dxa" w:w="3120"/>
          </w:tcPr>
          <w:p>
            <w:r>
              <w:rPr>
                <w:rFonts w:ascii="Arial" w:hAnsi="Arial"/>
                <w:sz w:val="20"/>
              </w:rPr>
              <w:t>**Enterprise Core**</w:t>
            </w:r>
          </w:p>
        </w:tc>
        <w:tc>
          <w:tcPr>
            <w:tcW w:type="dxa" w:w="3120"/>
          </w:tcPr>
          <w:p>
            <w:r>
              <w:rPr>
                <w:rFonts w:ascii="Arial" w:hAnsi="Arial"/>
                <w:sz w:val="20"/>
              </w:rPr>
              <w:t>Vector Database</w:t>
            </w:r>
          </w:p>
        </w:tc>
        <w:tc>
          <w:tcPr>
            <w:tcW w:type="dxa" w:w="3120"/>
          </w:tcPr>
          <w:p>
            <w:r>
              <w:rPr>
                <w:rFonts w:ascii="Arial" w:hAnsi="Arial"/>
                <w:sz w:val="20"/>
              </w:rPr>
              <w:t>Stores document embeddings for semantic search.</w:t>
            </w:r>
          </w:p>
        </w:tc>
      </w:tr>
      <w:tr>
        <w:tc>
          <w:tcPr>
            <w:tcW w:type="dxa" w:w="3120"/>
          </w:tcPr>
          <w:p>
            <w:r>
              <w:rPr>
                <w:rFonts w:ascii="Arial" w:hAnsi="Arial"/>
                <w:sz w:val="20"/>
              </w:rPr>
              <w:t>**Enterprise Core**</w:t>
            </w:r>
          </w:p>
        </w:tc>
        <w:tc>
          <w:tcPr>
            <w:tcW w:type="dxa" w:w="3120"/>
          </w:tcPr>
          <w:p>
            <w:r>
              <w:rPr>
                <w:rFonts w:ascii="Arial" w:hAnsi="Arial"/>
                <w:sz w:val="20"/>
              </w:rPr>
              <w:t>Knowledge Graph</w:t>
            </w:r>
          </w:p>
        </w:tc>
        <w:tc>
          <w:tcPr>
            <w:tcW w:type="dxa" w:w="3120"/>
          </w:tcPr>
          <w:p>
            <w:r>
              <w:rPr>
                <w:rFonts w:ascii="Arial" w:hAnsi="Arial"/>
                <w:sz w:val="20"/>
              </w:rPr>
              <w:t>Maps relational connections between organizational entities.</w:t>
            </w:r>
          </w:p>
        </w:tc>
      </w:tr>
      <w:tr>
        <w:tc>
          <w:tcPr>
            <w:tcW w:type="dxa" w:w="3120"/>
          </w:tcPr>
          <w:p>
            <w:r>
              <w:rPr>
                <w:rFonts w:ascii="Arial" w:hAnsi="Arial"/>
                <w:sz w:val="20"/>
              </w:rPr>
              <w:t>**Enterprise Core**</w:t>
            </w:r>
          </w:p>
        </w:tc>
        <w:tc>
          <w:tcPr>
            <w:tcW w:type="dxa" w:w="3120"/>
          </w:tcPr>
          <w:p>
            <w:r>
              <w:rPr>
                <w:rFonts w:ascii="Arial" w:hAnsi="Arial"/>
                <w:sz w:val="20"/>
              </w:rPr>
              <w:t>Sound Engine</w:t>
            </w:r>
          </w:p>
        </w:tc>
        <w:tc>
          <w:tcPr>
            <w:tcW w:type="dxa" w:w="3120"/>
          </w:tcPr>
          <w:p>
            <w:r>
              <w:rPr>
                <w:rFonts w:ascii="Arial" w:hAnsi="Arial"/>
                <w:sz w:val="20"/>
              </w:rPr>
              <w:t>Generates audio feedback and hazard warnings using the Web Audio API.</w:t>
            </w:r>
          </w:p>
        </w:tc>
      </w:tr>
    </w:tbl>
    <w:p>
      <w:pPr>
        <w:spacing w:after="160" w:line="276" w:lineRule="auto"/>
      </w:pPr>
      <w:r>
        <w:rPr>
          <w:rFonts w:ascii="Arial" w:hAnsi="Arial"/>
          <w:color w:val="282828"/>
          <w:sz w:val="22"/>
        </w:rPr>
        <w:t>---</w:t>
      </w:r>
    </w:p>
    <w:p>
      <w:pPr>
        <w:spacing w:before="360" w:after="160"/>
      </w:pPr>
      <w:r>
        <w:rPr>
          <w:rFonts w:ascii="Arial" w:hAnsi="Arial"/>
          <w:b/>
          <w:color w:val="505A64"/>
          <w:sz w:val="32"/>
        </w:rPr>
        <w:t>9. Innovation Section (Patent-Worthy Ideas)</w:t>
      </w:r>
    </w:p>
    <w:p>
      <w:pPr>
        <w:spacing w:before="280" w:after="120"/>
      </w:pPr>
      <w:r>
        <w:rPr>
          <w:rFonts w:ascii="Arial" w:hAnsi="Arial"/>
          <w:b/>
          <w:color w:val="505A64"/>
          <w:sz w:val="26"/>
        </w:rPr>
        <w:t>9.1 Neural-Semantic Data Ingestion</w:t>
      </w:r>
    </w:p>
    <w:p>
      <w:pPr>
        <w:spacing w:after="160" w:line="276" w:lineRule="auto"/>
      </w:pPr>
      <w:r>
        <w:rPr>
          <w:rFonts w:ascii="Arial" w:hAnsi="Arial"/>
          <w:color w:val="282828"/>
          <w:sz w:val="22"/>
        </w:rPr>
        <w:t>A method for converting unstructured industrial documents and real-time SCADA telemetry into a single queryable format. By mapping text embeddings and sensor values to shared nodes in a database, the system allows operators to run queries like: "Show me the maintenance procedure for the valve currently showing a high temperature."</w:t>
      </w:r>
    </w:p>
    <w:p>
      <w:pPr>
        <w:spacing w:before="280" w:after="120"/>
      </w:pPr>
      <w:r>
        <w:rPr>
          <w:rFonts w:ascii="Arial" w:hAnsi="Arial"/>
          <w:b/>
          <w:color w:val="505A64"/>
          <w:sz w:val="26"/>
        </w:rPr>
        <w:t>9.2 Multi-Agent Rational Consensus Protocol</w:t>
      </w:r>
    </w:p>
    <w:p>
      <w:pPr>
        <w:spacing w:after="160" w:line="276" w:lineRule="auto"/>
      </w:pPr>
      <w:r>
        <w:rPr>
          <w:rFonts w:ascii="Arial" w:hAnsi="Arial"/>
          <w:color w:val="282828"/>
          <w:sz w:val="22"/>
        </w:rPr>
        <w:t>A structured coordination process for LLM agents. Agents use a multi-round debate protocol to discuss proposals, calculate a joint confidence index, and refine their recommendations before presenting a final, unified response to the operator.</w:t>
      </w:r>
    </w:p>
    <w:p>
      <w:pPr>
        <w:spacing w:before="280" w:after="120"/>
      </w:pPr>
      <w:r>
        <w:rPr>
          <w:rFonts w:ascii="Arial" w:hAnsi="Arial"/>
          <w:b/>
          <w:color w:val="505A64"/>
          <w:sz w:val="26"/>
        </w:rPr>
        <w:t>9.3 Institutional Knowledge Digitization</w:t>
      </w:r>
    </w:p>
    <w:p>
      <w:pPr>
        <w:spacing w:after="160" w:line="276" w:lineRule="auto"/>
      </w:pPr>
      <w:r>
        <w:rPr>
          <w:rFonts w:ascii="Arial" w:hAnsi="Arial"/>
          <w:color w:val="282828"/>
          <w:sz w:val="22"/>
        </w:rPr>
        <w:t>A method for preserving institutional memory by capturing logs, handwritten operator notes, and recorded audio diaries. The system converts these records into semantic embeddings, allowing future operators to query the experience of retired personnel.</w:t>
      </w:r>
    </w:p>
    <w:p>
      <w:pPr>
        <w:spacing w:after="160" w:line="276" w:lineRule="auto"/>
      </w:pPr>
      <w:r>
        <w:rPr>
          <w:rFonts w:ascii="Arial" w:hAnsi="Arial"/>
          <w:color w:val="282828"/>
          <w:sz w:val="22"/>
        </w:rPr>
        <w:t>---</w:t>
      </w:r>
    </w:p>
    <w:p>
      <w:pPr>
        <w:spacing w:before="360" w:after="160"/>
      </w:pPr>
      <w:r>
        <w:rPr>
          <w:rFonts w:ascii="Arial" w:hAnsi="Arial"/>
          <w:b/>
          <w:color w:val="505A64"/>
          <w:sz w:val="32"/>
        </w:rPr>
        <w:t>10. Technology Stack</w:t>
      </w:r>
    </w:p>
    <w:p>
      <w:pPr>
        <w:spacing w:before="280" w:after="120"/>
      </w:pPr>
      <w:r>
        <w:rPr>
          <w:rFonts w:ascii="Arial" w:hAnsi="Arial"/>
          <w:b/>
          <w:color w:val="505A64"/>
          <w:sz w:val="26"/>
        </w:rPr>
        <w:t>10.1 Frontend Selection</w:t>
      </w:r>
    </w:p>
    <w:p>
      <w:pPr>
        <w:pStyle w:val="ListBullet"/>
        <w:spacing w:after="80"/>
      </w:pPr>
      <w:r>
        <w:rPr>
          <w:rFonts w:ascii="Arial" w:hAnsi="Arial"/>
          <w:b/>
          <w:sz w:val="22"/>
        </w:rPr>
        <w:t xml:space="preserve">Next.js 16 &amp; React 19: </w:t>
      </w:r>
      <w:r>
        <w:rPr>
          <w:rFonts w:ascii="Arial" w:hAnsi="Arial"/>
          <w:sz w:val="22"/>
        </w:rPr>
        <w:t>: Selected to support server-side rendering, low latency, and component-based UI organization.</w:t>
      </w:r>
    </w:p>
    <w:p>
      <w:pPr>
        <w:pStyle w:val="ListBullet"/>
        <w:spacing w:after="80"/>
      </w:pPr>
      <w:r>
        <w:rPr>
          <w:rFonts w:ascii="Arial" w:hAnsi="Arial"/>
          <w:b/>
          <w:sz w:val="22"/>
        </w:rPr>
        <w:t xml:space="preserve">TypeScript: </w:t>
      </w:r>
      <w:r>
        <w:rPr>
          <w:rFonts w:ascii="Arial" w:hAnsi="Arial"/>
          <w:sz w:val="22"/>
        </w:rPr>
        <w:t>: Used to ensure static type-safety across all components and data structures.</w:t>
      </w:r>
    </w:p>
    <w:p>
      <w:pPr>
        <w:pStyle w:val="ListBullet"/>
        <w:spacing w:after="80"/>
      </w:pPr>
      <w:r>
        <w:rPr>
          <w:rFonts w:ascii="Arial" w:hAnsi="Arial"/>
          <w:b/>
          <w:sz w:val="22"/>
        </w:rPr>
        <w:t xml:space="preserve">Tailwind CSS: </w:t>
      </w:r>
      <w:r>
        <w:rPr>
          <w:rFonts w:ascii="Arial" w:hAnsi="Arial"/>
          <w:sz w:val="22"/>
        </w:rPr>
        <w:t>: Provides utility classes for a consistent dark-theme design.</w:t>
      </w:r>
    </w:p>
    <w:p>
      <w:pPr>
        <w:pStyle w:val="ListBullet"/>
        <w:spacing w:after="80"/>
      </w:pPr>
      <w:r>
        <w:rPr>
          <w:rFonts w:ascii="Arial" w:hAnsi="Arial"/>
          <w:b/>
          <w:sz w:val="22"/>
        </w:rPr>
        <w:t xml:space="preserve">Framer Motion: </w:t>
      </w:r>
      <w:r>
        <w:rPr>
          <w:rFonts w:ascii="Arial" w:hAnsi="Arial"/>
          <w:sz w:val="22"/>
        </w:rPr>
        <w:t>: Enables smooth animations, panel transitions, and hover states.</w:t>
      </w:r>
    </w:p>
    <w:p>
      <w:pPr>
        <w:pStyle w:val="ListBullet"/>
        <w:spacing w:after="80"/>
      </w:pPr>
      <w:r>
        <w:rPr>
          <w:rFonts w:ascii="Arial" w:hAnsi="Arial"/>
          <w:b/>
          <w:sz w:val="22"/>
        </w:rPr>
        <w:t xml:space="preserve">HTML5 Canvas: </w:t>
      </w:r>
      <w:r>
        <w:rPr>
          <w:rFonts w:ascii="Arial" w:hAnsi="Arial"/>
          <w:sz w:val="22"/>
        </w:rPr>
        <w:t>: Powers high-performance rendering of particle networks at 60 FPS.</w:t>
      </w:r>
    </w:p>
    <w:p>
      <w:pPr>
        <w:spacing w:before="280" w:after="120"/>
      </w:pPr>
      <w:r>
        <w:rPr>
          <w:rFonts w:ascii="Arial" w:hAnsi="Arial"/>
          <w:b/>
          <w:color w:val="505A64"/>
          <w:sz w:val="26"/>
        </w:rPr>
        <w:t>10.2 Backend Selection</w:t>
      </w:r>
    </w:p>
    <w:p>
      <w:pPr>
        <w:pStyle w:val="ListBullet"/>
        <w:spacing w:after="80"/>
      </w:pPr>
      <w:r>
        <w:rPr>
          <w:rFonts w:ascii="Arial" w:hAnsi="Arial"/>
          <w:b/>
          <w:sz w:val="22"/>
        </w:rPr>
        <w:t xml:space="preserve">FastAPI: </w:t>
      </w:r>
      <w:r>
        <w:rPr>
          <w:rFonts w:ascii="Arial" w:hAnsi="Arial"/>
          <w:sz w:val="22"/>
        </w:rPr>
        <w:t>: Provides a high-performance web framework for Python, used for modeling and data analysis.</w:t>
      </w:r>
    </w:p>
    <w:p>
      <w:pPr>
        <w:pStyle w:val="ListBullet"/>
        <w:spacing w:after="80"/>
      </w:pPr>
      <w:r>
        <w:rPr>
          <w:rFonts w:ascii="Arial" w:hAnsi="Arial"/>
          <w:b/>
          <w:sz w:val="22"/>
        </w:rPr>
        <w:t xml:space="preserve">Node.js Edge Routes: </w:t>
      </w:r>
      <w:r>
        <w:rPr>
          <w:rFonts w:ascii="Arial" w:hAnsi="Arial"/>
          <w:sz w:val="22"/>
        </w:rPr>
        <w:t>: Handles low-latency server-side operations and API routing.</w:t>
      </w:r>
    </w:p>
    <w:p>
      <w:pPr>
        <w:spacing w:before="280" w:after="120"/>
      </w:pPr>
      <w:r>
        <w:rPr>
          <w:rFonts w:ascii="Arial" w:hAnsi="Arial"/>
          <w:b/>
          <w:color w:val="505A64"/>
          <w:sz w:val="26"/>
        </w:rPr>
        <w:t>10.3 Database &amp; AI Frameworks</w:t>
      </w:r>
    </w:p>
    <w:p>
      <w:pPr>
        <w:pStyle w:val="ListBullet"/>
        <w:spacing w:after="80"/>
      </w:pPr>
      <w:r>
        <w:rPr>
          <w:rFonts w:ascii="Arial" w:hAnsi="Arial"/>
          <w:b/>
          <w:sz w:val="22"/>
        </w:rPr>
        <w:t xml:space="preserve">Neo4j: </w:t>
      </w:r>
      <w:r>
        <w:rPr>
          <w:rFonts w:ascii="Arial" w:hAnsi="Arial"/>
          <w:sz w:val="22"/>
        </w:rPr>
        <w:t>: Graph database used to map relationships between employees, assets, and vendors.</w:t>
      </w:r>
    </w:p>
    <w:p>
      <w:pPr>
        <w:pStyle w:val="ListBullet"/>
        <w:spacing w:after="80"/>
      </w:pPr>
      <w:r>
        <w:rPr>
          <w:rFonts w:ascii="Arial" w:hAnsi="Arial"/>
          <w:b/>
          <w:sz w:val="22"/>
        </w:rPr>
        <w:t xml:space="preserve">PostgreSQL: </w:t>
      </w:r>
      <w:r>
        <w:rPr>
          <w:rFonts w:ascii="Arial" w:hAnsi="Arial"/>
          <w:sz w:val="22"/>
        </w:rPr>
        <w:t>: Relational database that stores transactional information, audit logs, and user credentials.</w:t>
      </w:r>
    </w:p>
    <w:p>
      <w:pPr>
        <w:pStyle w:val="ListBullet"/>
        <w:spacing w:after="80"/>
      </w:pPr>
      <w:r>
        <w:rPr>
          <w:rFonts w:ascii="Arial" w:hAnsi="Arial"/>
          <w:b/>
          <w:sz w:val="22"/>
        </w:rPr>
        <w:t xml:space="preserve">Qdrant: </w:t>
      </w:r>
      <w:r>
        <w:rPr>
          <w:rFonts w:ascii="Arial" w:hAnsi="Arial"/>
          <w:sz w:val="22"/>
        </w:rPr>
        <w:t>: Vector database used for storing and searching text embeddings.</w:t>
      </w:r>
    </w:p>
    <w:p>
      <w:pPr>
        <w:pStyle w:val="ListBullet"/>
        <w:spacing w:after="80"/>
      </w:pPr>
      <w:r>
        <w:rPr>
          <w:rFonts w:ascii="Arial" w:hAnsi="Arial"/>
          <w:b/>
          <w:sz w:val="22"/>
        </w:rPr>
        <w:t xml:space="preserve">LangGraph: </w:t>
      </w:r>
      <w:r>
        <w:rPr>
          <w:rFonts w:ascii="Arial" w:hAnsi="Arial"/>
          <w:sz w:val="22"/>
        </w:rPr>
        <w:t>: Orchestrates the multi-agent debate workflow, managing state transitions and agent roles.</w:t>
      </w:r>
    </w:p>
    <w:p>
      <w:pPr>
        <w:pStyle w:val="ListBullet"/>
        <w:spacing w:after="80"/>
      </w:pPr>
      <w:r>
        <w:rPr>
          <w:rFonts w:ascii="Arial" w:hAnsi="Arial"/>
          <w:b/>
          <w:sz w:val="22"/>
        </w:rPr>
        <w:t xml:space="preserve">Web Audio API: </w:t>
      </w:r>
      <w:r>
        <w:rPr>
          <w:rFonts w:ascii="Arial" w:hAnsi="Arial"/>
          <w:sz w:val="22"/>
        </w:rPr>
        <w:t>: Synthesizes custom, procedural audio alerts directly in the client browser.</w:t>
      </w:r>
    </w:p>
    <w:p>
      <w:pPr>
        <w:spacing w:after="160" w:line="276" w:lineRule="auto"/>
      </w:pPr>
      <w:r>
        <w:rPr>
          <w:rFonts w:ascii="Arial" w:hAnsi="Arial"/>
          <w:color w:val="282828"/>
          <w:sz w:val="22"/>
        </w:rPr>
        <w:t>---</w:t>
      </w:r>
    </w:p>
    <w:p>
      <w:pPr>
        <w:spacing w:before="360" w:after="160"/>
      </w:pPr>
      <w:r>
        <w:rPr>
          <w:rFonts w:ascii="Arial" w:hAnsi="Arial"/>
          <w:b/>
          <w:color w:val="505A64"/>
          <w:sz w:val="32"/>
        </w:rPr>
        <w:t>11. Database Design</w:t>
      </w:r>
    </w:p>
    <w:p>
      <w:pPr>
        <w:spacing w:before="280" w:after="120"/>
      </w:pPr>
      <w:r>
        <w:rPr>
          <w:rFonts w:ascii="Arial" w:hAnsi="Arial"/>
          <w:b/>
          <w:color w:val="505A64"/>
          <w:sz w:val="26"/>
        </w:rPr>
        <w:t>11.1 Relational Tables (PostgreSQL)</w:t>
      </w:r>
    </w:p>
    <w:p>
      <w:pPr>
        <w:spacing w:after="160" w:line="276" w:lineRule="auto"/>
      </w:pPr>
      <w:r>
        <w:rPr>
          <w:rFonts w:ascii="Arial" w:hAnsi="Arial"/>
          <w:color w:val="282828"/>
          <w:sz w:val="22"/>
        </w:rPr>
        <w:t>The system uses the following table structure to track transactional data:</w:t>
      </w:r>
    </w:p>
    <w:p>
      <w:pPr>
        <w:pStyle w:val="ListBullet"/>
        <w:spacing w:after="80"/>
      </w:pPr>
      <w:r>
        <w:rPr>
          <w:rFonts w:ascii="Arial" w:hAnsi="Arial"/>
          <w:b/>
          <w:sz w:val="22"/>
        </w:rPr>
        <w:t xml:space="preserve">Organizations: </w:t>
      </w:r>
      <w:r>
        <w:rPr>
          <w:rFonts w:ascii="Arial" w:hAnsi="Arial"/>
          <w:sz w:val="22"/>
        </w:rPr>
        <w:t>: Stores tenant details.</w:t>
      </w:r>
    </w:p>
    <w:p>
      <w:pPr>
        <w:pStyle w:val="ListBullet"/>
        <w:spacing w:after="80"/>
      </w:pPr>
      <w:r>
        <w:rPr>
          <w:rFonts w:ascii="Arial" w:hAnsi="Arial"/>
          <w:sz w:val="22"/>
        </w:rPr>
        <w:t>Columns: ID (Primary Key), Name, Plan Type, Registration Date.</w:t>
      </w:r>
    </w:p>
    <w:p>
      <w:pPr>
        <w:pStyle w:val="ListBullet"/>
        <w:spacing w:after="80"/>
      </w:pPr>
      <w:r>
        <w:rPr>
          <w:rFonts w:ascii="Arial" w:hAnsi="Arial"/>
          <w:b/>
          <w:sz w:val="22"/>
        </w:rPr>
        <w:t xml:space="preserve">Users: </w:t>
      </w:r>
      <w:r>
        <w:rPr>
          <w:rFonts w:ascii="Arial" w:hAnsi="Arial"/>
          <w:sz w:val="22"/>
        </w:rPr>
        <w:t>: Stores system users.</w:t>
      </w:r>
    </w:p>
    <w:p>
      <w:pPr>
        <w:pStyle w:val="ListBullet"/>
        <w:spacing w:after="80"/>
      </w:pPr>
      <w:r>
        <w:rPr>
          <w:rFonts w:ascii="Arial" w:hAnsi="Arial"/>
          <w:sz w:val="22"/>
        </w:rPr>
        <w:t>Columns: ID (Primary Key), Email, Hashed Password, Role (Admin, Executive, Operator), Organization ID (Foreign Key).</w:t>
      </w:r>
    </w:p>
    <w:p>
      <w:pPr>
        <w:pStyle w:val="ListBullet"/>
        <w:spacing w:after="80"/>
      </w:pPr>
      <w:r>
        <w:rPr>
          <w:rFonts w:ascii="Arial" w:hAnsi="Arial"/>
          <w:b/>
          <w:sz w:val="22"/>
        </w:rPr>
        <w:t xml:space="preserve">Assets: </w:t>
      </w:r>
      <w:r>
        <w:rPr>
          <w:rFonts w:ascii="Arial" w:hAnsi="Arial"/>
          <w:sz w:val="22"/>
        </w:rPr>
        <w:t>: Tracks physical equipment.</w:t>
      </w:r>
    </w:p>
    <w:p>
      <w:pPr>
        <w:pStyle w:val="ListBullet"/>
        <w:spacing w:after="80"/>
      </w:pPr>
      <w:r>
        <w:rPr>
          <w:rFonts w:ascii="Arial" w:hAnsi="Arial"/>
          <w:sz w:val="22"/>
        </w:rPr>
        <w:t>Columns: ID (Primary Key), Name, Type, Coordinates (X, Y, Z), Current Status, Health Grade, Last Inspection Date.</w:t>
      </w:r>
    </w:p>
    <w:p>
      <w:pPr>
        <w:pStyle w:val="ListBullet"/>
        <w:spacing w:after="80"/>
      </w:pPr>
      <w:r>
        <w:rPr>
          <w:rFonts w:ascii="Arial" w:hAnsi="Arial"/>
          <w:b/>
          <w:sz w:val="22"/>
        </w:rPr>
        <w:t xml:space="preserve">Incidents: </w:t>
      </w:r>
      <w:r>
        <w:rPr>
          <w:rFonts w:ascii="Arial" w:hAnsi="Arial"/>
          <w:sz w:val="22"/>
        </w:rPr>
        <w:t>: Logs system incidents.</w:t>
      </w:r>
    </w:p>
    <w:p>
      <w:pPr>
        <w:pStyle w:val="ListBullet"/>
        <w:spacing w:after="80"/>
      </w:pPr>
      <w:r>
        <w:rPr>
          <w:rFonts w:ascii="Arial" w:hAnsi="Arial"/>
          <w:sz w:val="22"/>
        </w:rPr>
        <w:t>Columns: ID (Primary Key), Title, Severity (Critical, Warning, Low), Description, Status (Open, Resolved), Asset ID (Foreign Key).</w:t>
      </w:r>
    </w:p>
    <w:p>
      <w:pPr>
        <w:pStyle w:val="ListBullet"/>
        <w:spacing w:after="80"/>
      </w:pPr>
      <w:r>
        <w:rPr>
          <w:rFonts w:ascii="Arial" w:hAnsi="Arial"/>
          <w:b/>
          <w:sz w:val="22"/>
        </w:rPr>
        <w:t xml:space="preserve">Predictions: </w:t>
      </w:r>
      <w:r>
        <w:rPr>
          <w:rFonts w:ascii="Arial" w:hAnsi="Arial"/>
          <w:sz w:val="22"/>
        </w:rPr>
        <w:t>: Stores machine learning output.</w:t>
      </w:r>
    </w:p>
    <w:p>
      <w:pPr>
        <w:pStyle w:val="ListBullet"/>
        <w:spacing w:after="80"/>
      </w:pPr>
      <w:r>
        <w:rPr>
          <w:rFonts w:ascii="Arial" w:hAnsi="Arial"/>
          <w:sz w:val="22"/>
        </w:rPr>
        <w:t>Columns: ID (Primary Key), Predicted Status, Failure Probability, Target Asset ID (Foreign Key), Time Window, Calculation Date.</w:t>
      </w:r>
    </w:p>
    <w:p>
      <w:pPr>
        <w:pStyle w:val="ListBullet"/>
        <w:spacing w:after="80"/>
      </w:pPr>
      <w:r>
        <w:rPr>
          <w:rFonts w:ascii="Arial" w:hAnsi="Arial"/>
          <w:b/>
          <w:sz w:val="22"/>
        </w:rPr>
        <w:t xml:space="preserve">Audit Logs: </w:t>
      </w:r>
      <w:r>
        <w:rPr>
          <w:rFonts w:ascii="Arial" w:hAnsi="Arial"/>
          <w:sz w:val="22"/>
        </w:rPr>
        <w:t>: Records system actions.</w:t>
      </w:r>
    </w:p>
    <w:p>
      <w:pPr>
        <w:pStyle w:val="ListBullet"/>
        <w:spacing w:after="80"/>
      </w:pPr>
      <w:r>
        <w:rPr>
          <w:rFonts w:ascii="Arial" w:hAnsi="Arial"/>
          <w:sz w:val="22"/>
        </w:rPr>
        <w:t>Columns: ID (Primary Key), Timestamp, User ID (Foreign Key), Action Type, Details, IP Address.</w:t>
      </w:r>
    </w:p>
    <w:p>
      <w:pPr>
        <w:spacing w:after="160" w:line="276" w:lineRule="auto"/>
      </w:pPr>
      <w:r>
        <w:rPr>
          <w:rFonts w:ascii="Arial" w:hAnsi="Arial"/>
          <w:color w:val="282828"/>
          <w:sz w:val="22"/>
        </w:rPr>
        <w:t>---</w:t>
      </w:r>
    </w:p>
    <w:p>
      <w:pPr>
        <w:spacing w:before="360" w:after="160"/>
      </w:pPr>
      <w:r>
        <w:rPr>
          <w:rFonts w:ascii="Arial" w:hAnsi="Arial"/>
          <w:b/>
          <w:color w:val="505A64"/>
          <w:sz w:val="32"/>
        </w:rPr>
        <w:t>12. Knowledge Graph Design</w:t>
      </w:r>
    </w:p>
    <w:p>
      <w:pPr>
        <w:spacing w:before="280" w:after="120"/>
      </w:pPr>
      <w:r>
        <w:rPr>
          <w:rFonts w:ascii="Arial" w:hAnsi="Arial"/>
          <w:b/>
          <w:color w:val="505A64"/>
          <w:sz w:val="26"/>
        </w:rPr>
        <w:t>12.1 Ontological Map</w:t>
      </w:r>
    </w:p>
    <w:p>
      <w:pPr>
        <w:spacing w:after="160" w:line="276" w:lineRule="auto"/>
      </w:pPr>
      <w:r>
        <w:rPr>
          <w:rFonts w:ascii="Arial" w:hAnsi="Arial"/>
          <w:color w:val="282828"/>
          <w:sz w:val="22"/>
        </w:rPr>
        <w:t>The graph database links entities across the enterprise to reveal hidden relationships.</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[Vendor] ------- SUPPLIES -------&gt; [Asset] &lt;------- LOCATED_AT ------- [Facility]</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r>
          </w:p>
        </w:tc>
      </w:tr>
    </w:tbl>
    <w:p>
      <w:pPr>
        <w:spacing w:after="160" w:line="276" w:lineRule="auto"/>
      </w:pPr>
      <w:r>
        <w:rPr>
          <w:rFonts w:ascii="Arial" w:hAnsi="Arial"/>
          <w:color w:val="282828"/>
          <w:sz w:val="22"/>
        </w:rPr>
        <w:t>RECALLS_ON                         SUFFERED</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r>
          </w:p>
        </w:tc>
      </w:tr>
    </w:tbl>
    <w:p>
      <w:pPr>
        <w:spacing w:after="160" w:line="276" w:lineRule="auto"/>
      </w:pPr>
      <w:r>
        <w:rPr>
          <w:rFonts w:ascii="Arial" w:hAnsi="Arial"/>
          <w:color w:val="282828"/>
          <w:sz w:val="22"/>
        </w:rPr>
        <w:t>v                                  v</w:t>
      </w:r>
    </w:p>
    <w:p>
      <w:pPr>
        <w:spacing w:after="160" w:line="276" w:lineRule="auto"/>
      </w:pPr>
      <w:r>
        <w:rPr>
          <w:rFonts w:ascii="Arial" w:hAnsi="Arial"/>
          <w:color w:val="282828"/>
          <w:sz w:val="22"/>
        </w:rPr>
        <w:t>[Regulation] &lt;------ COMPLIANT_WITH -- [Incident] &lt;--- RESPONSIBLE_FOR -- [Operator]</w:t>
      </w:r>
    </w:p>
    <w:p>
      <w:pPr>
        <w:spacing w:after="160" w:line="276" w:lineRule="auto"/>
      </w:pPr>
      <w:r>
        <w:rPr>
          <w:rFonts w:ascii="Arial" w:hAnsi="Arial"/>
          <w:color w:val="282828"/>
          <w:sz w:val="22"/>
        </w:rPr>
        <w:t>```</w:t>
      </w:r>
    </w:p>
    <w:p>
      <w:pPr>
        <w:spacing w:before="280" w:after="120"/>
      </w:pPr>
      <w:r>
        <w:rPr>
          <w:rFonts w:ascii="Arial" w:hAnsi="Arial"/>
          <w:b/>
          <w:color w:val="505A64"/>
          <w:sz w:val="26"/>
        </w:rPr>
        <w:t>12.2 Graph Entities and Relations</w:t>
      </w:r>
    </w:p>
    <w:p>
      <w:pPr>
        <w:pStyle w:val="ListBullet"/>
        <w:spacing w:after="80"/>
      </w:pPr>
      <w:r>
        <w:rPr>
          <w:rFonts w:ascii="Arial" w:hAnsi="Arial"/>
          <w:b/>
          <w:sz w:val="22"/>
        </w:rPr>
        <w:t xml:space="preserve">Node Types: </w:t>
      </w:r>
      <w:r>
        <w:rPr>
          <w:rFonts w:ascii="Arial" w:hAnsi="Arial"/>
          <w:sz w:val="22"/>
        </w:rPr>
        <w:t>: Asset, Operator, Vendor, Incident, Facility, Regulation.</w:t>
      </w:r>
    </w:p>
    <w:p>
      <w:pPr>
        <w:pStyle w:val="ListBullet"/>
        <w:spacing w:after="80"/>
      </w:pPr>
      <w:r>
        <w:rPr>
          <w:rFonts w:ascii="Arial" w:hAnsi="Arial"/>
          <w:b/>
          <w:sz w:val="22"/>
        </w:rPr>
        <w:t xml:space="preserve">Relationship Links: </w:t>
      </w:r>
      <w:r>
        <w:rPr>
          <w:rFonts w:ascii="Arial" w:hAnsi="Arial"/>
          <w:sz w:val="22"/>
        </w:rPr>
        <w:t>:</w:t>
      </w:r>
    </w:p>
    <w:p>
      <w:pPr>
        <w:pStyle w:val="ListBullet"/>
        <w:spacing w:after="80"/>
      </w:pPr>
      <w:r>
        <w:rPr>
          <w:rFonts w:ascii="Arial" w:hAnsi="Arial"/>
          <w:b/>
          <w:sz w:val="22"/>
        </w:rPr>
        <w:t xml:space="preserve">SUPPLIES: </w:t>
      </w:r>
      <w:r>
        <w:rPr>
          <w:rFonts w:ascii="Arial" w:hAnsi="Arial"/>
          <w:sz w:val="22"/>
        </w:rPr>
        <w:t>: Connects a Vendor to an Asset.</w:t>
      </w:r>
    </w:p>
    <w:p>
      <w:pPr>
        <w:pStyle w:val="ListBullet"/>
        <w:spacing w:after="80"/>
      </w:pPr>
      <w:r>
        <w:rPr>
          <w:rFonts w:ascii="Arial" w:hAnsi="Arial"/>
          <w:b/>
          <w:sz w:val="22"/>
        </w:rPr>
        <w:t xml:space="preserve">LOCATED_AT: </w:t>
      </w:r>
      <w:r>
        <w:rPr>
          <w:rFonts w:ascii="Arial" w:hAnsi="Arial"/>
          <w:sz w:val="22"/>
        </w:rPr>
        <w:t>: Connects an Asset to a Facility.</w:t>
      </w:r>
    </w:p>
    <w:p>
      <w:pPr>
        <w:pStyle w:val="ListBullet"/>
        <w:spacing w:after="80"/>
      </w:pPr>
      <w:r>
        <w:rPr>
          <w:rFonts w:ascii="Arial" w:hAnsi="Arial"/>
          <w:b/>
          <w:sz w:val="22"/>
        </w:rPr>
        <w:t xml:space="preserve">SUFFERED: </w:t>
      </w:r>
      <w:r>
        <w:rPr>
          <w:rFonts w:ascii="Arial" w:hAnsi="Arial"/>
          <w:sz w:val="22"/>
        </w:rPr>
        <w:t>: Connects an Asset to an Incident.</w:t>
      </w:r>
    </w:p>
    <w:p>
      <w:pPr>
        <w:pStyle w:val="ListBullet"/>
        <w:spacing w:after="80"/>
      </w:pPr>
      <w:r>
        <w:rPr>
          <w:rFonts w:ascii="Arial" w:hAnsi="Arial"/>
          <w:b/>
          <w:sz w:val="22"/>
        </w:rPr>
        <w:t xml:space="preserve">RESPONSIBLE_FOR: </w:t>
      </w:r>
      <w:r>
        <w:rPr>
          <w:rFonts w:ascii="Arial" w:hAnsi="Arial"/>
          <w:sz w:val="22"/>
        </w:rPr>
        <w:t>: Connects an Operator to an Incident or maintenance task.</w:t>
      </w:r>
    </w:p>
    <w:p>
      <w:pPr>
        <w:pStyle w:val="ListBullet"/>
        <w:spacing w:after="80"/>
      </w:pPr>
      <w:r>
        <w:rPr>
          <w:rFonts w:ascii="Arial" w:hAnsi="Arial"/>
          <w:b/>
          <w:sz w:val="22"/>
        </w:rPr>
        <w:t xml:space="preserve">COMPLIANT_WITH: </w:t>
      </w:r>
      <w:r>
        <w:rPr>
          <w:rFonts w:ascii="Arial" w:hAnsi="Arial"/>
          <w:sz w:val="22"/>
        </w:rPr>
        <w:t>: Connects an Incident or Asset to a Regulation.</w:t>
      </w:r>
    </w:p>
    <w:p>
      <w:pPr>
        <w:pStyle w:val="ListBullet"/>
        <w:spacing w:after="80"/>
      </w:pPr>
      <w:r>
        <w:rPr>
          <w:rFonts w:ascii="Arial" w:hAnsi="Arial"/>
          <w:b/>
          <w:sz w:val="22"/>
        </w:rPr>
        <w:t xml:space="preserve">RECALLS_ON: </w:t>
      </w:r>
      <w:r>
        <w:rPr>
          <w:rFonts w:ascii="Arial" w:hAnsi="Arial"/>
          <w:sz w:val="22"/>
        </w:rPr>
        <w:t>: Connects a Regulation or safety alert to a Vendor component.</w:t>
      </w:r>
    </w:p>
    <w:p>
      <w:pPr>
        <w:spacing w:after="160" w:line="276" w:lineRule="auto"/>
      </w:pPr>
      <w:r>
        <w:rPr>
          <w:rFonts w:ascii="Arial" w:hAnsi="Arial"/>
          <w:color w:val="282828"/>
          <w:sz w:val="22"/>
        </w:rPr>
        <w:t>---</w:t>
      </w:r>
    </w:p>
    <w:p>
      <w:pPr>
        <w:spacing w:before="360" w:after="160"/>
      </w:pPr>
      <w:r>
        <w:rPr>
          <w:rFonts w:ascii="Arial" w:hAnsi="Arial"/>
          <w:b/>
          <w:color w:val="505A64"/>
          <w:sz w:val="32"/>
        </w:rPr>
        <w:t>13. AI Architecture</w:t>
      </w:r>
    </w:p>
    <w:p>
      <w:pPr>
        <w:spacing w:before="280" w:after="120"/>
      </w:pPr>
      <w:r>
        <w:rPr>
          <w:rFonts w:ascii="Arial" w:hAnsi="Arial"/>
          <w:b/>
          <w:color w:val="505A64"/>
          <w:sz w:val="26"/>
        </w:rPr>
        <w:t>13.1 Agent Council Workflows</w:t>
      </w:r>
    </w:p>
    <w:p>
      <w:pPr>
        <w:spacing w:after="160" w:line="276" w:lineRule="auto"/>
      </w:pPr>
      <w:r>
        <w:rPr>
          <w:rFonts w:ascii="Arial" w:hAnsi="Arial"/>
          <w:color w:val="282828"/>
          <w:sz w:val="22"/>
        </w:rPr>
        <w:t>The AI Agent Council uses a structured consensus protocol to process complex operational queries.</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User Query</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  Planner Agent   | &lt;--- Retrieves relevant Graph &amp; Vector context</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AGENT DEBATE ROUND</w:t>
            </w:r>
          </w:p>
        </w:tc>
      </w:tr>
      <w:tr>
        <w:tc>
          <w:tcPr>
            <w:tcW w:type="dxa" w:w="9360"/>
          </w:tcPr>
          <w:p>
            <w:r>
              <w:rPr>
                <w:rFonts w:ascii="Arial" w:hAnsi="Arial"/>
                <w:sz w:val="20"/>
              </w:rPr>
              <w:t>* CEO Agent (Moderates)</w:t>
            </w:r>
          </w:p>
        </w:tc>
      </w:tr>
      <w:tr>
        <w:tc>
          <w:tcPr>
            <w:tcW w:type="dxa" w:w="9360"/>
          </w:tcPr>
          <w:p>
            <w:r>
              <w:rPr>
                <w:rFonts w:ascii="Arial" w:hAnsi="Arial"/>
                <w:sz w:val="20"/>
              </w:rPr>
              <w:t>* Finance Agent (Evaluates cost and capital)</w:t>
            </w:r>
          </w:p>
        </w:tc>
      </w:tr>
      <w:tr>
        <w:tc>
          <w:tcPr>
            <w:tcW w:type="dxa" w:w="9360"/>
          </w:tcPr>
          <w:p>
            <w:r>
              <w:rPr>
                <w:rFonts w:ascii="Arial" w:hAnsi="Arial"/>
                <w:sz w:val="20"/>
              </w:rPr>
              <w:t>* Operations Agent (Evaluates logistics)</w:t>
            </w:r>
          </w:p>
        </w:tc>
      </w:tr>
      <w:tr>
        <w:tc>
          <w:tcPr>
            <w:tcW w:type="dxa" w:w="9360"/>
          </w:tcPr>
          <w:p>
            <w:r>
              <w:rPr>
                <w:rFonts w:ascii="Arial" w:hAnsi="Arial"/>
                <w:sz w:val="20"/>
              </w:rPr>
              <w:t>* Safety Agent (Evaluates physical hazard risk)</w:t>
            </w:r>
          </w:p>
        </w:tc>
      </w:tr>
      <w:tr>
        <w:tc>
          <w:tcPr>
            <w:tcW w:type="dxa" w:w="9360"/>
          </w:tcPr>
          <w:p>
            <w:r>
              <w:rPr>
                <w:rFonts w:ascii="Arial" w:hAnsi="Arial"/>
                <w:sz w:val="20"/>
              </w:rPr>
              <w:t>* Compliance Agent (Evaluates regulatory impact)</w:t>
            </w:r>
          </w:p>
        </w:tc>
      </w:tr>
      <w:tr>
        <w:tc>
          <w:tcPr>
            <w:tcW w:type="dxa" w:w="9360"/>
          </w:tcPr>
          <w:p>
            <w:r>
              <w:rPr>
                <w:rFonts w:ascii="Arial" w:hAnsi="Arial"/>
                <w:sz w:val="20"/>
              </w:rPr>
              <w:t>* Cybersecurity Agent (Evaluates network security)</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 Consensus Evaluator | &lt;--- Calculates confidence score and checks metrics</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 Synthesis Agent  | &lt;--- Compiles final recommendation with citations</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9360"/>
      </w:tblGrid>
      <w:tr>
        <w:tc>
          <w:tcPr>
            <w:tcW w:type="dxa" w:w="9360"/>
          </w:tcPr>
          <w:p>
            <w:r>
              <w:rPr>
                <w:rFonts w:ascii="Arial" w:hAnsi="Arial"/>
                <w:b/>
                <w:sz w:val="20"/>
              </w:rPr>
              <w:t>Voice / UI Readout</w:t>
            </w:r>
          </w:p>
        </w:tc>
      </w:tr>
    </w:tbl>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p>
      <w:pPr>
        <w:spacing w:before="360" w:after="160"/>
      </w:pPr>
      <w:r>
        <w:rPr>
          <w:rFonts w:ascii="Arial" w:hAnsi="Arial"/>
          <w:b/>
          <w:color w:val="505A64"/>
          <w:sz w:val="32"/>
        </w:rPr>
        <w:t>14. Machine Learning Models</w:t>
      </w:r>
    </w:p>
    <w:p>
      <w:pPr>
        <w:spacing w:before="280" w:after="120"/>
      </w:pPr>
      <w:r>
        <w:rPr>
          <w:rFonts w:ascii="Arial" w:hAnsi="Arial"/>
          <w:b/>
          <w:color w:val="505A64"/>
          <w:sz w:val="26"/>
        </w:rPr>
        <w:t>14.1 Predictive Maintenance Model</w:t>
      </w:r>
    </w:p>
    <w:p>
      <w:pPr>
        <w:spacing w:after="160" w:line="276" w:lineRule="auto"/>
      </w:pPr>
      <w:r>
        <w:rPr>
          <w:rFonts w:ascii="Arial" w:hAnsi="Arial"/>
          <w:color w:val="282828"/>
          <w:sz w:val="22"/>
        </w:rPr>
        <w:t>Predicts the remaining useful life of assets using sensor telemetry.</w:t>
      </w:r>
    </w:p>
    <w:p>
      <w:pPr>
        <w:pStyle w:val="ListBullet"/>
        <w:spacing w:after="80"/>
      </w:pPr>
      <w:r>
        <w:rPr>
          <w:rFonts w:ascii="Arial" w:hAnsi="Arial"/>
          <w:b/>
          <w:sz w:val="22"/>
        </w:rPr>
        <w:t xml:space="preserve">Algorithm: </w:t>
      </w:r>
      <w:r>
        <w:rPr>
          <w:rFonts w:ascii="Arial" w:hAnsi="Arial"/>
          <w:sz w:val="22"/>
        </w:rPr>
        <w:t>: LSTM (Long Short-Term Memory) network for time-series modeling, combined with XGBoost for classification.</w:t>
      </w:r>
    </w:p>
    <w:p>
      <w:pPr>
        <w:pStyle w:val="ListBullet"/>
        <w:spacing w:after="80"/>
      </w:pPr>
      <w:r>
        <w:rPr>
          <w:rFonts w:ascii="Arial" w:hAnsi="Arial"/>
          <w:b/>
          <w:sz w:val="22"/>
        </w:rPr>
        <w:t xml:space="preserve">Input Features: </w:t>
      </w:r>
      <w:r>
        <w:rPr>
          <w:rFonts w:ascii="Arial" w:hAnsi="Arial"/>
          <w:sz w:val="22"/>
        </w:rPr>
        <w:t>: Operating temperature, vibration amplitude, pressure variance, total run hours, and time since last maintenance.</w:t>
      </w:r>
    </w:p>
    <w:p>
      <w:pPr>
        <w:pStyle w:val="ListBullet"/>
        <w:spacing w:after="80"/>
      </w:pPr>
      <w:r>
        <w:rPr>
          <w:rFonts w:ascii="Arial" w:hAnsi="Arial"/>
          <w:b/>
          <w:sz w:val="22"/>
        </w:rPr>
        <w:t xml:space="preserve">Output: </w:t>
      </w:r>
      <w:r>
        <w:rPr>
          <w:rFonts w:ascii="Arial" w:hAnsi="Arial"/>
          <w:sz w:val="22"/>
        </w:rPr>
        <w:t>: Probability of failure within a 30-day window.</w:t>
      </w:r>
    </w:p>
    <w:p>
      <w:pPr>
        <w:spacing w:before="280" w:after="120"/>
      </w:pPr>
      <w:r>
        <w:rPr>
          <w:rFonts w:ascii="Arial" w:hAnsi="Arial"/>
          <w:b/>
          <w:color w:val="505A64"/>
          <w:sz w:val="26"/>
        </w:rPr>
        <w:t>14.2 Compounding Risk Formula</w:t>
      </w:r>
    </w:p>
    <w:p>
      <w:pPr>
        <w:spacing w:after="160" w:line="276" w:lineRule="auto"/>
      </w:pPr>
      <w:r>
        <w:rPr>
          <w:rFonts w:ascii="Arial" w:hAnsi="Arial"/>
          <w:color w:val="282828"/>
          <w:sz w:val="22"/>
        </w:rPr>
        <w:t>Calculates overall risk levels by factoring in compounding threat conditions:</w:t>
      </w:r>
    </w:p>
    <w:p>
      <w:pPr>
        <w:spacing w:after="160" w:line="276" w:lineRule="auto"/>
      </w:pPr>
      <w:r>
        <w:rPr>
          <w:rFonts w:ascii="Arial" w:hAnsi="Arial"/>
          <w:color w:val="282828"/>
          <w:sz w:val="22"/>
        </w:rPr>
        <w:t>$$\text{Risk Score} = \min \left( \sum (W_i) \times [1 + (N - 1) \times 0.15], \, 1.0 \right)$$</w:t>
      </w:r>
    </w:p>
    <w:p>
      <w:pPr>
        <w:spacing w:after="160" w:line="276" w:lineRule="auto"/>
      </w:pPr>
      <w:r>
        <w:rPr>
          <w:rFonts w:ascii="Arial" w:hAnsi="Arial"/>
          <w:color w:val="282828"/>
          <w:sz w:val="22"/>
        </w:rPr>
        <w:t>Where:</w:t>
      </w:r>
    </w:p>
    <w:p>
      <w:pPr>
        <w:pStyle w:val="ListBullet"/>
        <w:spacing w:after="80"/>
      </w:pPr>
      <w:r>
        <w:rPr>
          <w:rFonts w:ascii="Arial" w:hAnsi="Arial"/>
          <w:sz w:val="22"/>
        </w:rPr>
        <w:t>$W_i$ represents the individual weight of each active risk factor.</w:t>
      </w:r>
    </w:p>
    <w:p>
      <w:pPr>
        <w:pStyle w:val="ListBullet"/>
        <w:spacing w:after="80"/>
      </w:pPr>
      <w:r>
        <w:rPr>
          <w:rFonts w:ascii="Arial" w:hAnsi="Arial"/>
          <w:sz w:val="22"/>
        </w:rPr>
        <w:t>$N$ represents the total number of co-occurring risk factors.</w:t>
      </w:r>
    </w:p>
    <w:p>
      <w:pPr>
        <w:pStyle w:val="ListBullet"/>
        <w:spacing w:after="80"/>
      </w:pPr>
      <w:r>
        <w:rPr>
          <w:rFonts w:ascii="Arial" w:hAnsi="Arial"/>
          <w:sz w:val="22"/>
        </w:rPr>
        <w:t>$0.15$ is the compounding scaling factor, modeling how co-occurring risks multiply overall threat levels.</w:t>
      </w:r>
    </w:p>
    <w:p>
      <w:pPr>
        <w:spacing w:after="160" w:line="276" w:lineRule="auto"/>
      </w:pPr>
      <w:r>
        <w:rPr>
          <w:rFonts w:ascii="Arial" w:hAnsi="Arial"/>
          <w:color w:val="282828"/>
          <w:sz w:val="22"/>
        </w:rPr>
        <w:t>---</w:t>
      </w:r>
    </w:p>
    <w:p>
      <w:pPr>
        <w:spacing w:before="360" w:after="160"/>
      </w:pPr>
      <w:r>
        <w:rPr>
          <w:rFonts w:ascii="Arial" w:hAnsi="Arial"/>
          <w:b/>
          <w:color w:val="505A64"/>
          <w:sz w:val="32"/>
        </w:rPr>
        <w:t>15. RAG Architecture</w:t>
      </w:r>
    </w:p>
    <w:p>
      <w:pPr>
        <w:spacing w:before="280" w:after="120"/>
      </w:pPr>
      <w:r>
        <w:rPr>
          <w:rFonts w:ascii="Arial" w:hAnsi="Arial"/>
          <w:b/>
          <w:color w:val="505A64"/>
          <w:sz w:val="26"/>
        </w:rPr>
        <w:t>15.1 Vector Retrieval Flow</w:t>
      </w:r>
    </w:p>
    <w:p>
      <w:pPr>
        <w:spacing w:after="160" w:line="276" w:lineRule="auto"/>
      </w:pPr>
      <w:r>
        <w:rPr>
          <w:rFonts w:ascii="Arial" w:hAnsi="Arial"/>
          <w:color w:val="282828"/>
          <w:sz w:val="22"/>
        </w:rPr>
        <w:t>A Retrieval-Augmented Generation pipeline connects unstructured document libraries to the conversational AI interface.</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[Unstructured PDFs] ---&gt; Sentence Tokenizer ---&gt; Chunk Separator ---&gt; Embedding Model (text-embedding-3)</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[User Query] ------------&gt; Embedding Generator (text-embedding-3) --------&gt; Vector Database (Qdrant)</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[Augmented LLM Response] &lt;--- Context Merger &lt;--- Semantic Nearest-Neighbor Match (Cosine Similarity)</w:t>
      </w:r>
    </w:p>
    <w:p>
      <w:pPr>
        <w:spacing w:after="160" w:line="276" w:lineRule="auto"/>
      </w:pPr>
      <w:r>
        <w:rPr>
          <w:rFonts w:ascii="Arial" w:hAnsi="Arial"/>
          <w:color w:val="282828"/>
          <w:sz w:val="22"/>
        </w:rPr>
        <w:t>```</w:t>
      </w:r>
    </w:p>
    <w:p>
      <w:pPr>
        <w:spacing w:before="280" w:after="120"/>
      </w:pPr>
      <w:r>
        <w:rPr>
          <w:rFonts w:ascii="Arial" w:hAnsi="Arial"/>
          <w:b/>
          <w:color w:val="505A64"/>
          <w:sz w:val="26"/>
        </w:rPr>
        <w:t>15.2 Retrieval Metrics</w:t>
      </w:r>
    </w:p>
    <w:p>
      <w:pPr>
        <w:pStyle w:val="ListBullet"/>
        <w:spacing w:after="80"/>
      </w:pPr>
      <w:r>
        <w:rPr>
          <w:rFonts w:ascii="Arial" w:hAnsi="Arial"/>
          <w:b/>
          <w:sz w:val="22"/>
        </w:rPr>
        <w:t xml:space="preserve">Chunking Strategy: </w:t>
      </w:r>
      <w:r>
        <w:rPr>
          <w:rFonts w:ascii="Arial" w:hAnsi="Arial"/>
          <w:sz w:val="22"/>
        </w:rPr>
        <w:t>: Recursive character chunking (1000 characters per chunk, with 200 character overlaps) to preserve sentence structure.</w:t>
      </w:r>
    </w:p>
    <w:p>
      <w:pPr>
        <w:pStyle w:val="ListBullet"/>
        <w:spacing w:after="80"/>
      </w:pPr>
      <w:r>
        <w:rPr>
          <w:rFonts w:ascii="Arial" w:hAnsi="Arial"/>
          <w:b/>
          <w:sz w:val="22"/>
        </w:rPr>
        <w:t xml:space="preserve">Distance Metric: </w:t>
      </w:r>
      <w:r>
        <w:rPr>
          <w:rFonts w:ascii="Arial" w:hAnsi="Arial"/>
          <w:sz w:val="22"/>
        </w:rPr>
        <w:t>: Cosine similarity is used to calculate the distance between query vectors and document chunk vectors.</w:t>
      </w:r>
    </w:p>
    <w:p>
      <w:pPr>
        <w:pStyle w:val="ListBullet"/>
        <w:spacing w:after="80"/>
      </w:pPr>
      <w:r>
        <w:rPr>
          <w:rFonts w:ascii="Arial" w:hAnsi="Arial"/>
          <w:b/>
          <w:sz w:val="22"/>
        </w:rPr>
        <w:t xml:space="preserve">Metadata Filtering: </w:t>
      </w:r>
      <w:r>
        <w:rPr>
          <w:rFonts w:ascii="Arial" w:hAnsi="Arial"/>
          <w:sz w:val="22"/>
        </w:rPr>
        <w:t>: Enables filtering search results by document category, publication date, and facility relevance.</w:t>
      </w:r>
    </w:p>
    <w:p>
      <w:pPr>
        <w:spacing w:after="160" w:line="276" w:lineRule="auto"/>
      </w:pPr>
      <w:r>
        <w:rPr>
          <w:rFonts w:ascii="Arial" w:hAnsi="Arial"/>
          <w:color w:val="282828"/>
          <w:sz w:val="22"/>
        </w:rPr>
        <w:t>---</w:t>
      </w:r>
    </w:p>
    <w:p>
      <w:pPr>
        <w:spacing w:before="360" w:after="160"/>
      </w:pPr>
      <w:r>
        <w:rPr>
          <w:rFonts w:ascii="Arial" w:hAnsi="Arial"/>
          <w:b/>
          <w:color w:val="505A64"/>
          <w:sz w:val="32"/>
        </w:rPr>
        <w:t>16. UI/UX Design</w:t>
      </w:r>
    </w:p>
    <w:p>
      <w:pPr>
        <w:spacing w:before="280" w:after="120"/>
      </w:pPr>
      <w:r>
        <w:rPr>
          <w:rFonts w:ascii="Arial" w:hAnsi="Arial"/>
          <w:b/>
          <w:color w:val="505A64"/>
          <w:sz w:val="26"/>
        </w:rPr>
        <w:t>16.1 Aesthetics and UI System</w:t>
      </w:r>
    </w:p>
    <w:p>
      <w:pPr>
        <w:spacing w:after="160" w:line="276" w:lineRule="auto"/>
      </w:pPr>
      <w:r>
        <w:rPr>
          <w:rFonts w:ascii="Arial" w:hAnsi="Arial"/>
          <w:color w:val="282828"/>
          <w:sz w:val="22"/>
        </w:rPr>
        <w:t>The user interface is designed with a dark, premium aesthetic to mimic a mission control dashboard.</w:t>
      </w:r>
    </w:p>
    <w:p>
      <w:pPr>
        <w:pStyle w:val="ListBullet"/>
        <w:spacing w:after="80"/>
      </w:pPr>
      <w:r>
        <w:rPr>
          <w:rFonts w:ascii="Arial" w:hAnsi="Arial"/>
          <w:b/>
          <w:sz w:val="22"/>
        </w:rPr>
        <w:t xml:space="preserve">Color Palette: </w:t>
      </w:r>
      <w:r>
        <w:rPr>
          <w:rFonts w:ascii="Arial" w:hAnsi="Arial"/>
          <w:sz w:val="22"/>
        </w:rPr>
        <w:t>: Pitch black backgrounds, deep charcoal cards, slate-grey borders, and glowing accent indicators (neon green for normal operations, cyan for active agent debates, orange for warning states, and red for critical alerts).</w:t>
      </w:r>
    </w:p>
    <w:p>
      <w:pPr>
        <w:pStyle w:val="ListBullet"/>
        <w:spacing w:after="80"/>
      </w:pPr>
      <w:r>
        <w:rPr>
          <w:rFonts w:ascii="Arial" w:hAnsi="Arial"/>
          <w:b/>
          <w:sz w:val="22"/>
        </w:rPr>
        <w:t xml:space="preserve">Typography: </w:t>
      </w:r>
      <w:r>
        <w:rPr>
          <w:rFonts w:ascii="Arial" w:hAnsi="Arial"/>
          <w:sz w:val="22"/>
        </w:rPr>
        <w:t>: Clean, sans-serif fonts (Inter, Outfit) to maximize readability.</w:t>
      </w:r>
    </w:p>
    <w:p>
      <w:pPr>
        <w:pStyle w:val="ListBullet"/>
        <w:spacing w:after="80"/>
      </w:pPr>
      <w:r>
        <w:rPr>
          <w:rFonts w:ascii="Arial" w:hAnsi="Arial"/>
          <w:b/>
          <w:sz w:val="22"/>
        </w:rPr>
        <w:t xml:space="preserve">Visual Effects: </w:t>
      </w:r>
      <w:r>
        <w:rPr>
          <w:rFonts w:ascii="Arial" w:hAnsi="Arial"/>
          <w:sz w:val="22"/>
        </w:rPr>
        <w:t>: Glassmorphism card layouts, subtle particle canvas backdrops, and interactive hover animations.</w:t>
      </w:r>
    </w:p>
    <w:p>
      <w:pPr>
        <w:spacing w:before="280" w:after="120"/>
      </w:pPr>
      <w:r>
        <w:rPr>
          <w:rFonts w:ascii="Arial" w:hAnsi="Arial"/>
          <w:b/>
          <w:color w:val="505A64"/>
          <w:sz w:val="26"/>
        </w:rPr>
        <w:t>16.2 Core Dashboard Screens</w:t>
      </w:r>
    </w:p>
    <w:p>
      <w:pPr>
        <w:spacing w:after="160" w:line="276" w:lineRule="auto"/>
      </w:pPr>
      <w:r>
        <w:rPr>
          <w:rFonts w:ascii="Arial" w:hAnsi="Arial"/>
          <w:color w:val="282828"/>
          <w:sz w:val="22"/>
        </w:rPr>
        <w:t>1. **Security Gatekeeper Screen**: A biometric login interface featuring scanning lasers and a visual progress bar.</w:t>
      </w:r>
    </w:p>
    <w:p>
      <w:pPr>
        <w:spacing w:after="160" w:line="276" w:lineRule="auto"/>
      </w:pPr>
      <w:r>
        <w:rPr>
          <w:rFonts w:ascii="Arial" w:hAnsi="Arial"/>
          <w:color w:val="282828"/>
          <w:sz w:val="22"/>
        </w:rPr>
        <w:t>2. **NASA-Style Command Cockpit**: Displays real-time sensor metrics and an animated radar sweep.</w:t>
      </w:r>
    </w:p>
    <w:p>
      <w:pPr>
        <w:spacing w:after="160" w:line="276" w:lineRule="auto"/>
      </w:pPr>
      <w:r>
        <w:rPr>
          <w:rFonts w:ascii="Arial" w:hAnsi="Arial"/>
          <w:color w:val="282828"/>
          <w:sz w:val="22"/>
        </w:rPr>
        <w:t>3. **Knowledge Graph Visualizer**: An interactive network node map showing the relationships between systems and entities.</w:t>
      </w:r>
    </w:p>
    <w:p>
      <w:pPr>
        <w:spacing w:after="160" w:line="276" w:lineRule="auto"/>
      </w:pPr>
      <w:r>
        <w:rPr>
          <w:rFonts w:ascii="Arial" w:hAnsi="Arial"/>
          <w:color w:val="282828"/>
          <w:sz w:val="22"/>
        </w:rPr>
        <w:t>4. **Agent Council Boardroom**: A roundtable visualizer depicting the live debate and confidence levels of the AI agents.</w:t>
      </w:r>
    </w:p>
    <w:p>
      <w:pPr>
        <w:spacing w:after="160" w:line="276" w:lineRule="auto"/>
      </w:pPr>
      <w:r>
        <w:rPr>
          <w:rFonts w:ascii="Arial" w:hAnsi="Arial"/>
          <w:color w:val="282828"/>
          <w:sz w:val="22"/>
        </w:rPr>
        <w:t>5. **3D Isometric Digital Twin**: Shows facility component models with health color-coding.</w:t>
      </w:r>
    </w:p>
    <w:p>
      <w:pPr>
        <w:spacing w:after="160" w:line="276" w:lineRule="auto"/>
      </w:pPr>
      <w:r>
        <w:rPr>
          <w:rFonts w:ascii="Arial" w:hAnsi="Arial"/>
          <w:color w:val="282828"/>
          <w:sz w:val="22"/>
        </w:rPr>
        <w:t>6. **Black Swan Predictor Console**: Toggles threat variables to calculate real-time compounding risks.</w:t>
      </w:r>
    </w:p>
    <w:p>
      <w:pPr>
        <w:spacing w:after="160" w:line="276" w:lineRule="auto"/>
      </w:pPr>
      <w:r>
        <w:rPr>
          <w:rFonts w:ascii="Arial" w:hAnsi="Arial"/>
          <w:color w:val="282828"/>
          <w:sz w:val="22"/>
        </w:rPr>
        <w:t>7. **Global Supply Galaxy Map**: Traces material transit routes across a global coordinate grid.</w:t>
      </w:r>
    </w:p>
    <w:p>
      <w:pPr>
        <w:spacing w:after="160" w:line="276" w:lineRule="auto"/>
      </w:pPr>
      <w:r>
        <w:rPr>
          <w:rFonts w:ascii="Arial" w:hAnsi="Arial"/>
          <w:color w:val="282828"/>
          <w:sz w:val="22"/>
        </w:rPr>
        <w:t>8. **Executive KPI Dashboard**: Displays top-level financial metrics and performance targets.</w:t>
      </w:r>
    </w:p>
    <w:p>
      <w:pPr>
        <w:spacing w:after="160" w:line="276" w:lineRule="auto"/>
      </w:pPr>
      <w:r>
        <w:rPr>
          <w:rFonts w:ascii="Arial" w:hAnsi="Arial"/>
          <w:color w:val="282828"/>
          <w:sz w:val="22"/>
        </w:rPr>
        <w:t>9. **Memory Chronometer Timeline**: Shows historical system updates and maintenance logs.</w:t>
      </w:r>
    </w:p>
    <w:p>
      <w:pPr>
        <w:spacing w:after="160" w:line="276" w:lineRule="auto"/>
      </w:pPr>
      <w:r>
        <w:rPr>
          <w:rFonts w:ascii="Arial" w:hAnsi="Arial"/>
          <w:color w:val="282828"/>
          <w:sz w:val="22"/>
        </w:rPr>
        <w:t>10. **System Settings Hub**: Manages role permissions and configures auditory alarms.</w:t>
      </w:r>
    </w:p>
    <w:p>
      <w:pPr>
        <w:spacing w:after="160" w:line="276" w:lineRule="auto"/>
      </w:pPr>
      <w:r>
        <w:rPr>
          <w:rFonts w:ascii="Arial" w:hAnsi="Arial"/>
          <w:color w:val="282828"/>
          <w:sz w:val="22"/>
        </w:rPr>
        <w:t>---</w:t>
      </w:r>
    </w:p>
    <w:p>
      <w:pPr>
        <w:spacing w:before="360" w:after="160"/>
      </w:pPr>
      <w:r>
        <w:rPr>
          <w:rFonts w:ascii="Arial" w:hAnsi="Arial"/>
          <w:b/>
          <w:color w:val="505A64"/>
          <w:sz w:val="32"/>
        </w:rPr>
        <w:t>17. Security Architecture</w:t>
      </w:r>
    </w:p>
    <w:p>
      <w:pPr>
        <w:spacing w:before="280" w:after="120"/>
      </w:pPr>
      <w:r>
        <w:rPr>
          <w:rFonts w:ascii="Arial" w:hAnsi="Arial"/>
          <w:b/>
          <w:color w:val="505A64"/>
          <w:sz w:val="26"/>
        </w:rPr>
        <w:t>17.1 Security &amp; Compliance Protocols</w:t>
      </w:r>
    </w:p>
    <w:p>
      <w:pPr>
        <w:pStyle w:val="ListBullet"/>
        <w:spacing w:after="80"/>
      </w:pPr>
      <w:r>
        <w:rPr>
          <w:rFonts w:ascii="Arial" w:hAnsi="Arial"/>
          <w:b/>
          <w:sz w:val="22"/>
        </w:rPr>
        <w:t xml:space="preserve">Authentication: </w:t>
      </w:r>
      <w:r>
        <w:rPr>
          <w:rFonts w:ascii="Arial" w:hAnsi="Arial"/>
          <w:sz w:val="22"/>
        </w:rPr>
        <w:t>: Users log in using OAuth 2.0 and receive a JWT access token.</w:t>
      </w:r>
    </w:p>
    <w:p>
      <w:pPr>
        <w:pStyle w:val="ListBullet"/>
        <w:spacing w:after="80"/>
      </w:pPr>
      <w:r>
        <w:rPr>
          <w:rFonts w:ascii="Arial" w:hAnsi="Arial"/>
          <w:b/>
          <w:sz w:val="22"/>
        </w:rPr>
        <w:t xml:space="preserve">Permissions Management: </w:t>
      </w:r>
      <w:r>
        <w:rPr>
          <w:rFonts w:ascii="Arial" w:hAnsi="Arial"/>
          <w:sz w:val="22"/>
        </w:rPr>
        <w:t>: RBAC defines what actions users can take. Operators can view status metrics; Executives can run financial projections; Admins can edit configurations and assign user roles.</w:t>
      </w:r>
    </w:p>
    <w:p>
      <w:pPr>
        <w:pStyle w:val="ListBullet"/>
        <w:spacing w:after="80"/>
      </w:pPr>
      <w:r>
        <w:rPr>
          <w:rFonts w:ascii="Arial" w:hAnsi="Arial"/>
          <w:b/>
          <w:sz w:val="22"/>
        </w:rPr>
        <w:t xml:space="preserve">Encryption Standards: </w:t>
      </w:r>
      <w:r>
        <w:rPr>
          <w:rFonts w:ascii="Arial" w:hAnsi="Arial"/>
          <w:sz w:val="22"/>
        </w:rPr>
        <w:t>: Data is encrypted using AES-256 at rest and TLS 1.3 in transit.</w:t>
      </w:r>
    </w:p>
    <w:p>
      <w:pPr>
        <w:pStyle w:val="ListBullet"/>
        <w:spacing w:after="80"/>
      </w:pPr>
      <w:r>
        <w:rPr>
          <w:rFonts w:ascii="Arial" w:hAnsi="Arial"/>
          <w:b/>
          <w:sz w:val="22"/>
        </w:rPr>
        <w:t xml:space="preserve">Audit Trails: </w:t>
      </w:r>
      <w:r>
        <w:rPr>
          <w:rFonts w:ascii="Arial" w:hAnsi="Arial"/>
          <w:sz w:val="22"/>
        </w:rPr>
        <w:t>: The system logs all user and AI interactions to PostgreSQL. These records cannot be edited or deleted by standard operators.</w:t>
      </w:r>
    </w:p>
    <w:p>
      <w:pPr>
        <w:spacing w:after="160" w:line="276" w:lineRule="auto"/>
      </w:pPr>
      <w:r>
        <w:rPr>
          <w:rFonts w:ascii="Arial" w:hAnsi="Arial"/>
          <w:color w:val="282828"/>
          <w:sz w:val="22"/>
        </w:rPr>
        <w:t>---</w:t>
      </w:r>
    </w:p>
    <w:p>
      <w:pPr>
        <w:spacing w:before="360" w:after="160"/>
      </w:pPr>
      <w:r>
        <w:rPr>
          <w:rFonts w:ascii="Arial" w:hAnsi="Arial"/>
          <w:b/>
          <w:color w:val="505A64"/>
          <w:sz w:val="32"/>
        </w:rPr>
        <w:t>18. API Documentation</w:t>
      </w:r>
    </w:p>
    <w:p>
      <w:pPr>
        <w:spacing w:before="280" w:after="120"/>
      </w:pPr>
      <w:r>
        <w:rPr>
          <w:rFonts w:ascii="Arial" w:hAnsi="Arial"/>
          <w:b/>
          <w:color w:val="505A64"/>
          <w:sz w:val="26"/>
        </w:rPr>
        <w:t>18.1 Endpoint Catalog</w:t>
      </w:r>
    </w:p>
    <w:p>
      <w:pPr>
        <w:spacing w:after="160" w:line="276" w:lineRule="auto"/>
      </w:pPr>
      <w:r>
        <w:rPr>
          <w:rFonts w:ascii="Arial" w:hAnsi="Arial"/>
          <w:color w:val="282828"/>
          <w:sz w:val="22"/>
        </w:rPr>
        <w:t>The backend services expose the following REST endpoints:</w:t>
      </w:r>
    </w:p>
    <w:p>
      <w:pPr>
        <w:pStyle w:val="ListBullet"/>
        <w:spacing w:after="80"/>
      </w:pPr>
      <w:r>
        <w:rPr>
          <w:rFonts w:ascii="Arial" w:hAnsi="Arial"/>
          <w:b/>
          <w:sz w:val="22"/>
        </w:rPr>
        <w:t xml:space="preserve">POST /api/chat: </w:t>
      </w:r>
      <w:r>
        <w:rPr>
          <w:rFonts w:ascii="Arial" w:hAnsi="Arial"/>
          <w:sz w:val="22"/>
        </w:rPr>
        <w:t>: Accepts a chat message, retrieves relevant document context from the vector database, and returns the AI's response along with document source citations.</w:t>
      </w:r>
    </w:p>
    <w:p>
      <w:pPr>
        <w:pStyle w:val="ListBullet"/>
        <w:spacing w:after="80"/>
      </w:pPr>
      <w:r>
        <w:rPr>
          <w:rFonts w:ascii="Arial" w:hAnsi="Arial"/>
          <w:b/>
          <w:sz w:val="22"/>
        </w:rPr>
        <w:t xml:space="preserve">POST /api/predict: </w:t>
      </w:r>
      <w:r>
        <w:rPr>
          <w:rFonts w:ascii="Arial" w:hAnsi="Arial"/>
          <w:sz w:val="22"/>
        </w:rPr>
        <w:t>: Evaluates sensor metrics to calculate failure probabilities and remaining useful life.</w:t>
      </w:r>
    </w:p>
    <w:p>
      <w:pPr>
        <w:pStyle w:val="ListBullet"/>
        <w:spacing w:after="80"/>
      </w:pPr>
      <w:r>
        <w:rPr>
          <w:rFonts w:ascii="Arial" w:hAnsi="Arial"/>
          <w:b/>
          <w:sz w:val="22"/>
        </w:rPr>
        <w:t xml:space="preserve">POST /api/simulate: </w:t>
      </w:r>
      <w:r>
        <w:rPr>
          <w:rFonts w:ascii="Arial" w:hAnsi="Arial"/>
          <w:sz w:val="22"/>
        </w:rPr>
        <w:t>: Accepts asset inputs and risk factor overrides, returning the simulated cost and risk outcomes of different mitigation strategies.</w:t>
      </w:r>
    </w:p>
    <w:p>
      <w:pPr>
        <w:pStyle w:val="ListBullet"/>
        <w:spacing w:after="80"/>
      </w:pPr>
      <w:r>
        <w:rPr>
          <w:rFonts w:ascii="Arial" w:hAnsi="Arial"/>
          <w:b/>
          <w:sz w:val="22"/>
        </w:rPr>
        <w:t xml:space="preserve">GET /api/assets: </w:t>
      </w:r>
      <w:r>
        <w:rPr>
          <w:rFonts w:ascii="Arial" w:hAnsi="Arial"/>
          <w:sz w:val="22"/>
        </w:rPr>
        <w:t>: Returns details on all physical assets, including locations, status grades, and recent maintenance dates.</w:t>
      </w:r>
    </w:p>
    <w:p>
      <w:pPr>
        <w:pStyle w:val="ListBullet"/>
        <w:spacing w:after="80"/>
      </w:pPr>
      <w:r>
        <w:rPr>
          <w:rFonts w:ascii="Arial" w:hAnsi="Arial"/>
          <w:b/>
          <w:sz w:val="22"/>
        </w:rPr>
        <w:t xml:space="preserve">GET /api/risks: </w:t>
      </w:r>
      <w:r>
        <w:rPr>
          <w:rFonts w:ascii="Arial" w:hAnsi="Arial"/>
          <w:sz w:val="22"/>
        </w:rPr>
        <w:t>: Returns the calculated compounding risk score and a list of active threat factors.</w:t>
      </w:r>
    </w:p>
    <w:p>
      <w:pPr>
        <w:pStyle w:val="ListBullet"/>
        <w:spacing w:after="80"/>
      </w:pPr>
      <w:r>
        <w:rPr>
          <w:rFonts w:ascii="Arial" w:hAnsi="Arial"/>
          <w:b/>
          <w:sz w:val="22"/>
        </w:rPr>
        <w:t xml:space="preserve">GET /api/agents: </w:t>
      </w:r>
      <w:r>
        <w:rPr>
          <w:rFonts w:ascii="Arial" w:hAnsi="Arial"/>
          <w:sz w:val="22"/>
        </w:rPr>
        <w:t>: Returns the status of the AI Agent Council, including active debate transcript feeds and consensus scores.</w:t>
      </w:r>
    </w:p>
    <w:p>
      <w:pPr>
        <w:spacing w:after="160" w:line="276" w:lineRule="auto"/>
      </w:pPr>
      <w:r>
        <w:rPr>
          <w:rFonts w:ascii="Arial" w:hAnsi="Arial"/>
          <w:color w:val="282828"/>
          <w:sz w:val="22"/>
        </w:rPr>
        <w:t>---</w:t>
      </w:r>
    </w:p>
    <w:p>
      <w:pPr>
        <w:spacing w:before="360" w:after="160"/>
      </w:pPr>
      <w:r>
        <w:rPr>
          <w:rFonts w:ascii="Arial" w:hAnsi="Arial"/>
          <w:b/>
          <w:color w:val="505A64"/>
          <w:sz w:val="32"/>
        </w:rPr>
        <w:t>19. Deployment Architecture</w:t>
      </w:r>
    </w:p>
    <w:p>
      <w:pPr>
        <w:spacing w:before="280" w:after="120"/>
      </w:pPr>
      <w:r>
        <w:rPr>
          <w:rFonts w:ascii="Arial" w:hAnsi="Arial"/>
          <w:b/>
          <w:color w:val="505A64"/>
          <w:sz w:val="26"/>
        </w:rPr>
        <w:t>19.1 Target Topology</w:t>
      </w:r>
    </w:p>
    <w:p>
      <w:pPr>
        <w:spacing w:after="160" w:line="276" w:lineRule="auto"/>
      </w:pPr>
      <w:r>
        <w:rPr>
          <w:rFonts w:ascii="Arial" w:hAnsi="Arial"/>
          <w:color w:val="282828"/>
          <w:sz w:val="22"/>
        </w:rPr>
        <w:t>A scalable, cloud-native deployment architecture ensures high availability and fast response times.</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 User Browser ]</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 Vercel Edge CDN Router ]</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 AWS API Gateway (JWT) ]</w:t>
      </w:r>
    </w:p>
    <w:p>
      <w:pPr>
        <w:spacing w:after="160" w:line="276" w:lineRule="auto"/>
      </w:pPr>
      <w:r>
        <w:rPr>
          <w:rFonts w:ascii="Arial" w:hAnsi="Arial"/>
          <w:color w:val="282828"/>
          <w:sz w:val="22"/>
        </w:rPr>
        <w:t>v</w:t>
      </w:r>
    </w:p>
    <w:p>
      <w:pPr>
        <w:spacing w:after="160" w:line="276" w:lineRule="auto"/>
      </w:pPr>
      <w:r>
        <w:rPr>
          <w:rFonts w:ascii="Arial" w:hAnsi="Arial"/>
          <w:color w:val="282828"/>
          <w:sz w:val="22"/>
        </w:rPr>
        <w:t>[ AWS ECS Fargate Container Cluster ]</w:t>
      </w:r>
    </w:p>
    <w:p>
      <w:pPr>
        <w:spacing w:after="160" w:line="276" w:lineRule="auto"/>
      </w:pPr>
      <w:r>
        <w:rPr>
          <w:rFonts w:ascii="Arial" w:hAnsi="Arial"/>
          <w:color w:val="282828"/>
          <w:sz w:val="22"/>
        </w:rPr>
        <w:t>( FastAPI Engine instances )</w:t>
      </w:r>
    </w:p>
    <w:p>
      <w:pPr>
        <w:spacing w:after="160" w:line="276" w:lineRule="auto"/>
      </w:pPr>
      <w:r>
        <w:rPr>
          <w:rFonts w:ascii="Arial" w:hAnsi="Arial"/>
          <w:color w:val="282828"/>
          <w:sz w:val="22"/>
        </w:rPr>
        <w:t>+-------------------------+-------------------------+</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rPr>
                <w:rFonts w:ascii="Arial" w:hAnsi="Arial"/>
                <w:b/>
                <w:sz w:val="20"/>
              </w:rPr>
            </w:r>
          </w:p>
        </w:tc>
        <w:tc>
          <w:tcPr>
            <w:tcW w:type="dxa" w:w="4680"/>
          </w:tcPr>
          <w:p>
            <w:r>
              <w:rPr>
                <w:rFonts w:ascii="Arial" w:hAnsi="Arial"/>
                <w:b/>
                <w:sz w:val="20"/>
              </w:rPr>
            </w:r>
          </w:p>
        </w:tc>
      </w:tr>
    </w:tbl>
    <w:p>
      <w:pPr>
        <w:spacing w:after="160" w:line="276" w:lineRule="auto"/>
      </w:pPr>
      <w:r>
        <w:rPr>
          <w:rFonts w:ascii="Arial" w:hAnsi="Arial"/>
          <w:color w:val="282828"/>
          <w:sz w:val="22"/>
        </w:rPr>
        <w:t>v                         v                         v</w:t>
      </w:r>
    </w:p>
    <w:p>
      <w:pPr>
        <w:spacing w:after="160" w:line="276" w:lineRule="auto"/>
      </w:pPr>
      <w:r>
        <w:rPr>
          <w:rFonts w:ascii="Arial" w:hAnsi="Arial"/>
          <w:color w:val="282828"/>
          <w:sz w:val="22"/>
        </w:rPr>
        <w:t>[ Amazon RDS PostgreSQL ]     [ Neo4j Aura Graph ]    [ Qdrant Cloud Vector ]</w:t>
      </w:r>
    </w:p>
    <w:p>
      <w:pPr>
        <w:spacing w:after="160" w:line="276" w:lineRule="auto"/>
      </w:pPr>
      <w:r>
        <w:rPr>
          <w:rFonts w:ascii="Arial" w:hAnsi="Arial"/>
          <w:color w:val="282828"/>
          <w:sz w:val="22"/>
        </w:rPr>
        <w:t>```</w:t>
      </w:r>
    </w:p>
    <w:p>
      <w:pPr>
        <w:spacing w:after="160" w:line="276" w:lineRule="auto"/>
      </w:pPr>
      <w:r>
        <w:rPr>
          <w:rFonts w:ascii="Arial" w:hAnsi="Arial"/>
          <w:color w:val="282828"/>
          <w:sz w:val="22"/>
        </w:rPr>
        <w:t>---</w:t>
      </w:r>
    </w:p>
    <w:p>
      <w:pPr>
        <w:spacing w:before="360" w:after="160"/>
      </w:pPr>
      <w:r>
        <w:rPr>
          <w:rFonts w:ascii="Arial" w:hAnsi="Arial"/>
          <w:b/>
          <w:color w:val="505A64"/>
          <w:sz w:val="32"/>
        </w:rPr>
        <w:t>20. Business Impact</w:t>
      </w:r>
    </w:p>
    <w:p>
      <w:pPr>
        <w:spacing w:before="280" w:after="120"/>
      </w:pPr>
      <w:r>
        <w:rPr>
          <w:rFonts w:ascii="Arial" w:hAnsi="Arial"/>
          <w:b/>
          <w:color w:val="505A64"/>
          <w:sz w:val="26"/>
        </w:rPr>
        <w:t>20.1 Return on Investment (ROI) Projections</w:t>
      </w:r>
    </w:p>
    <w:p>
      <w:pPr>
        <w:pStyle w:val="ListBullet"/>
        <w:spacing w:after="80"/>
      </w:pPr>
      <w:r>
        <w:rPr>
          <w:rFonts w:ascii="Arial" w:hAnsi="Arial"/>
          <w:b/>
          <w:sz w:val="22"/>
        </w:rPr>
        <w:t xml:space="preserve">Unplanned Downtime Reduction: </w:t>
      </w:r>
      <w:r>
        <w:rPr>
          <w:rFonts w:ascii="Arial" w:hAnsi="Arial"/>
          <w:sz w:val="22"/>
        </w:rPr>
        <w:t>: By predicting failures before they occur, AETHER-X reduces unplanned downtime by up to 95%, saving millions in lost production.</w:t>
      </w:r>
    </w:p>
    <w:p>
      <w:pPr>
        <w:pStyle w:val="ListBullet"/>
        <w:spacing w:after="80"/>
      </w:pPr>
      <w:r>
        <w:rPr>
          <w:rFonts w:ascii="Arial" w:hAnsi="Arial"/>
          <w:b/>
          <w:sz w:val="22"/>
        </w:rPr>
        <w:t xml:space="preserve">Operational Expense Reductions: </w:t>
      </w:r>
      <w:r>
        <w:rPr>
          <w:rFonts w:ascii="Arial" w:hAnsi="Arial"/>
          <w:sz w:val="22"/>
        </w:rPr>
        <w:t>: Automated document extraction and continuous auditing reduce manual compliance workloads, lowering admin overhead.</w:t>
      </w:r>
    </w:p>
    <w:p>
      <w:pPr>
        <w:pStyle w:val="ListBullet"/>
        <w:spacing w:after="80"/>
      </w:pPr>
      <w:r>
        <w:rPr>
          <w:rFonts w:ascii="Arial" w:hAnsi="Arial"/>
          <w:b/>
          <w:sz w:val="22"/>
        </w:rPr>
        <w:t xml:space="preserve">Avoidance of Compliance Fines: </w:t>
      </w:r>
      <w:r>
        <w:rPr>
          <w:rFonts w:ascii="Arial" w:hAnsi="Arial"/>
          <w:sz w:val="22"/>
        </w:rPr>
        <w:t>: Continuous regulatory checking identifies potential issues early, preventing EPA, OSHA, and SEC reporting penalties.</w:t>
      </w:r>
    </w:p>
    <w:p>
      <w:pPr>
        <w:spacing w:after="160" w:line="276" w:lineRule="auto"/>
      </w:pPr>
      <w:r>
        <w:rPr>
          <w:rFonts w:ascii="Arial" w:hAnsi="Arial"/>
          <w:color w:val="282828"/>
          <w:sz w:val="22"/>
        </w:rPr>
        <w:t>---</w:t>
      </w:r>
    </w:p>
    <w:p>
      <w:pPr>
        <w:spacing w:before="360" w:after="160"/>
      </w:pPr>
      <w:r>
        <w:rPr>
          <w:rFonts w:ascii="Arial" w:hAnsi="Arial"/>
          <w:b/>
          <w:color w:val="505A64"/>
          <w:sz w:val="32"/>
        </w:rPr>
        <w:t>21. Future Scope</w:t>
      </w:r>
    </w:p>
    <w:p>
      <w:pPr>
        <w:spacing w:before="280" w:after="120"/>
      </w:pPr>
      <w:r>
        <w:rPr>
          <w:rFonts w:ascii="Arial" w:hAnsi="Arial"/>
          <w:b/>
          <w:color w:val="505A64"/>
          <w:sz w:val="26"/>
        </w:rPr>
        <w:t>21.1 Future Roadmap</w:t>
      </w:r>
    </w:p>
    <w:p>
      <w:pPr>
        <w:pStyle w:val="ListBullet"/>
        <w:spacing w:after="80"/>
      </w:pPr>
      <w:r>
        <w:rPr>
          <w:rFonts w:ascii="Arial" w:hAnsi="Arial"/>
          <w:b/>
          <w:sz w:val="22"/>
        </w:rPr>
        <w:t xml:space="preserve">Direct SCADA Control Integration: </w:t>
      </w:r>
      <w:r>
        <w:rPr>
          <w:rFonts w:ascii="Arial" w:hAnsi="Arial"/>
          <w:sz w:val="22"/>
        </w:rPr>
        <w:t>: Connecting the system to SCADA interfaces will allow the AI Agent Council to execute approved mitigation actions directly.</w:t>
      </w:r>
    </w:p>
    <w:p>
      <w:pPr>
        <w:pStyle w:val="ListBullet"/>
        <w:spacing w:after="80"/>
      </w:pPr>
      <w:r>
        <w:rPr>
          <w:rFonts w:ascii="Arial" w:hAnsi="Arial"/>
          <w:b/>
          <w:sz w:val="22"/>
        </w:rPr>
        <w:t xml:space="preserve">Spatial Computing (Vision Pro / WebXR): </w:t>
      </w:r>
      <w:r>
        <w:rPr>
          <w:rFonts w:ascii="Arial" w:hAnsi="Arial"/>
          <w:sz w:val="22"/>
        </w:rPr>
        <w:t>: Renders the 3D isometric twin in spatial environments, allowing operators to inspect facilities remotely.</w:t>
      </w:r>
    </w:p>
    <w:p>
      <w:pPr>
        <w:pStyle w:val="ListBullet"/>
        <w:spacing w:after="80"/>
      </w:pPr>
      <w:r>
        <w:rPr>
          <w:rFonts w:ascii="Arial" w:hAnsi="Arial"/>
          <w:b/>
          <w:sz w:val="22"/>
        </w:rPr>
        <w:t xml:space="preserve">Autonomous Corporate Entities: </w:t>
      </w:r>
      <w:r>
        <w:rPr>
          <w:rFonts w:ascii="Arial" w:hAnsi="Arial"/>
          <w:sz w:val="22"/>
        </w:rPr>
        <w:t>: Integrating smart contracts will enable the system to automatically procure replacement parts when it predicts a component failure.</w:t>
      </w:r>
    </w:p>
    <w:p>
      <w:pPr>
        <w:spacing w:after="160" w:line="276" w:lineRule="auto"/>
      </w:pPr>
      <w:r>
        <w:rPr>
          <w:rFonts w:ascii="Arial" w:hAnsi="Arial"/>
          <w:color w:val="282828"/>
          <w:sz w:val="22"/>
        </w:rPr>
        <w:t>---</w:t>
      </w:r>
    </w:p>
    <w:p>
      <w:pPr>
        <w:spacing w:before="360" w:after="160"/>
      </w:pPr>
      <w:r>
        <w:rPr>
          <w:rFonts w:ascii="Arial" w:hAnsi="Arial"/>
          <w:b/>
          <w:color w:val="505A64"/>
          <w:sz w:val="32"/>
        </w:rPr>
        <w:t>22. Competitive Analysis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t>Capability Vector</w:t>
            </w:r>
          </w:p>
        </w:tc>
        <w:tc>
          <w:tcPr>
            <w:tcW w:type="dxa" w:w="1872"/>
          </w:tcPr>
          <w:p>
            <w:r>
              <w:rPr>
                <w:rFonts w:ascii="Arial" w:hAnsi="Arial"/>
                <w:b/>
                <w:sz w:val="20"/>
              </w:rPr>
              <w:t>AETHER-X</w:t>
            </w:r>
          </w:p>
        </w:tc>
        <w:tc>
          <w:tcPr>
            <w:tcW w:type="dxa" w:w="1872"/>
          </w:tcPr>
          <w:p>
            <w:r>
              <w:rPr>
                <w:rFonts w:ascii="Arial" w:hAnsi="Arial"/>
                <w:b/>
                <w:sz w:val="20"/>
              </w:rPr>
              <w:t>Palantir Foundry</w:t>
            </w:r>
          </w:p>
        </w:tc>
        <w:tc>
          <w:tcPr>
            <w:tcW w:type="dxa" w:w="1872"/>
          </w:tcPr>
          <w:p>
            <w:r>
              <w:rPr>
                <w:rFonts w:ascii="Arial" w:hAnsi="Arial"/>
                <w:b/>
                <w:sz w:val="20"/>
              </w:rPr>
              <w:t>IBM Maximo</w:t>
            </w:r>
          </w:p>
        </w:tc>
        <w:tc>
          <w:tcPr>
            <w:tcW w:type="dxa" w:w="1872"/>
          </w:tcPr>
          <w:p>
            <w:r>
              <w:rPr>
                <w:rFonts w:ascii="Arial" w:hAnsi="Arial"/>
                <w:b/>
                <w:sz w:val="20"/>
              </w:rPr>
              <w:t>SAP ERP</w:t>
            </w:r>
          </w:p>
        </w:tc>
      </w:tr>
      <w:tr>
        <w:tc>
          <w:tcPr>
            <w:tcW w:type="dxa" w:w="1872"/>
          </w:tcPr>
          <w:p>
            <w:r>
              <w:rPr>
                <w:rFonts w:ascii="Arial" w:hAnsi="Arial"/>
                <w:sz w:val="20"/>
              </w:rPr>
              <w:t>**Multi-Agent Debates**</w:t>
            </w:r>
          </w:p>
        </w:tc>
        <w:tc>
          <w:tcPr>
            <w:tcW w:type="dxa" w:w="1872"/>
          </w:tcPr>
          <w:p>
            <w:r>
              <w:rPr>
                <w:rFonts w:ascii="Arial" w:hAnsi="Arial"/>
                <w:sz w:val="20"/>
              </w:rPr>
              <w:t>**Native Feature**</w:t>
            </w:r>
          </w:p>
        </w:tc>
        <w:tc>
          <w:tcPr>
            <w:tcW w:type="dxa" w:w="1872"/>
          </w:tcPr>
          <w:p>
            <w:r>
              <w:rPr>
                <w:rFonts w:ascii="Arial" w:hAnsi="Arial"/>
                <w:sz w:val="20"/>
              </w:rPr>
              <w:t>Requires Custom Integration</w:t>
            </w:r>
          </w:p>
        </w:tc>
        <w:tc>
          <w:tcPr>
            <w:tcW w:type="dxa" w:w="1872"/>
          </w:tcPr>
          <w:p>
            <w:r>
              <w:rPr>
                <w:rFonts w:ascii="Arial" w:hAnsi="Arial"/>
                <w:sz w:val="20"/>
              </w:rPr>
              <w:t>Not Supported</w:t>
            </w:r>
          </w:p>
        </w:tc>
        <w:tc>
          <w:tcPr>
            <w:tcW w:type="dxa" w:w="1872"/>
          </w:tcPr>
          <w:p>
            <w:r>
              <w:rPr>
                <w:rFonts w:ascii="Arial" w:hAnsi="Arial"/>
                <w:sz w:val="20"/>
              </w:rPr>
              <w:t>Not Supported</w:t>
            </w:r>
          </w:p>
        </w:tc>
      </w:tr>
      <w:tr>
        <w:tc>
          <w:tcPr>
            <w:tcW w:type="dxa" w:w="1872"/>
          </w:tcPr>
          <w:p>
            <w:r>
              <w:rPr>
                <w:rFonts w:ascii="Arial" w:hAnsi="Arial"/>
                <w:sz w:val="20"/>
              </w:rPr>
              <w:t>**Interactive 3D Twin**</w:t>
            </w:r>
          </w:p>
        </w:tc>
        <w:tc>
          <w:tcPr>
            <w:tcW w:type="dxa" w:w="1872"/>
          </w:tcPr>
          <w:p>
            <w:r>
              <w:rPr>
                <w:rFonts w:ascii="Arial" w:hAnsi="Arial"/>
                <w:sz w:val="20"/>
              </w:rPr>
              <w:t>**Native Feature**</w:t>
            </w:r>
          </w:p>
        </w:tc>
        <w:tc>
          <w:tcPr>
            <w:tcW w:type="dxa" w:w="1872"/>
          </w:tcPr>
          <w:p>
            <w:r>
              <w:rPr>
                <w:rFonts w:ascii="Arial" w:hAnsi="Arial"/>
                <w:sz w:val="20"/>
              </w:rPr>
              <w:t>Requires Custom Add-on</w:t>
            </w:r>
          </w:p>
        </w:tc>
        <w:tc>
          <w:tcPr>
            <w:tcW w:type="dxa" w:w="1872"/>
          </w:tcPr>
          <w:p>
            <w:r>
              <w:rPr>
                <w:rFonts w:ascii="Arial" w:hAnsi="Arial"/>
                <w:sz w:val="20"/>
              </w:rPr>
              <w:t>Basic Support</w:t>
            </w:r>
          </w:p>
        </w:tc>
        <w:tc>
          <w:tcPr>
            <w:tcW w:type="dxa" w:w="1872"/>
          </w:tcPr>
          <w:p>
            <w:r>
              <w:rPr>
                <w:rFonts w:ascii="Arial" w:hAnsi="Arial"/>
                <w:sz w:val="20"/>
              </w:rPr>
              <w:t>Not Supported</w:t>
            </w:r>
          </w:p>
        </w:tc>
      </w:tr>
      <w:tr>
        <w:tc>
          <w:tcPr>
            <w:tcW w:type="dxa" w:w="1872"/>
          </w:tcPr>
          <w:p>
            <w:r>
              <w:rPr>
                <w:rFonts w:ascii="Arial" w:hAnsi="Arial"/>
                <w:sz w:val="20"/>
              </w:rPr>
              <w:t>**Speech Synthesizer**</w:t>
            </w:r>
          </w:p>
        </w:tc>
        <w:tc>
          <w:tcPr>
            <w:tcW w:type="dxa" w:w="1872"/>
          </w:tcPr>
          <w:p>
            <w:r>
              <w:rPr>
                <w:rFonts w:ascii="Arial" w:hAnsi="Arial"/>
                <w:sz w:val="20"/>
              </w:rPr>
              <w:t>**Native Feature**</w:t>
            </w:r>
          </w:p>
        </w:tc>
        <w:tc>
          <w:tcPr>
            <w:tcW w:type="dxa" w:w="1872"/>
          </w:tcPr>
          <w:p>
            <w:r>
              <w:rPr>
                <w:rFonts w:ascii="Arial" w:hAnsi="Arial"/>
                <w:sz w:val="20"/>
              </w:rPr>
              <w:t>Not Supported</w:t>
            </w:r>
          </w:p>
        </w:tc>
        <w:tc>
          <w:tcPr>
            <w:tcW w:type="dxa" w:w="1872"/>
          </w:tcPr>
          <w:p>
            <w:r>
              <w:rPr>
                <w:rFonts w:ascii="Arial" w:hAnsi="Arial"/>
                <w:sz w:val="20"/>
              </w:rPr>
              <w:t>Not Supported</w:t>
            </w:r>
          </w:p>
        </w:tc>
        <w:tc>
          <w:tcPr>
            <w:tcW w:type="dxa" w:w="1872"/>
          </w:tcPr>
          <w:p>
            <w:r>
              <w:rPr>
                <w:rFonts w:ascii="Arial" w:hAnsi="Arial"/>
                <w:sz w:val="20"/>
              </w:rPr>
              <w:t>Not Supported</w:t>
            </w:r>
          </w:p>
        </w:tc>
      </w:tr>
      <w:tr>
        <w:tc>
          <w:tcPr>
            <w:tcW w:type="dxa" w:w="1872"/>
          </w:tcPr>
          <w:p>
            <w:r>
              <w:rPr>
                <w:rFonts w:ascii="Arial" w:hAnsi="Arial"/>
                <w:sz w:val="20"/>
              </w:rPr>
              <w:t>**Setup Cost**</w:t>
            </w:r>
          </w:p>
        </w:tc>
        <w:tc>
          <w:tcPr>
            <w:tcW w:type="dxa" w:w="1872"/>
          </w:tcPr>
          <w:p>
            <w:r>
              <w:rPr>
                <w:rFonts w:ascii="Arial" w:hAnsi="Arial"/>
                <w:sz w:val="20"/>
              </w:rPr>
              <w:t>**Low Overhead**</w:t>
            </w:r>
          </w:p>
        </w:tc>
        <w:tc>
          <w:tcPr>
            <w:tcW w:type="dxa" w:w="1872"/>
          </w:tcPr>
          <w:p>
            <w:r>
              <w:rPr>
                <w:rFonts w:ascii="Arial" w:hAnsi="Arial"/>
                <w:sz w:val="20"/>
              </w:rPr>
              <w:t>Extremely High</w:t>
            </w:r>
          </w:p>
        </w:tc>
        <w:tc>
          <w:tcPr>
            <w:tcW w:type="dxa" w:w="1872"/>
          </w:tcPr>
          <w:p>
            <w:r>
              <w:rPr>
                <w:rFonts w:ascii="Arial" w:hAnsi="Arial"/>
                <w:sz w:val="20"/>
              </w:rPr>
              <w:t>High</w:t>
            </w:r>
          </w:p>
        </w:tc>
        <w:tc>
          <w:tcPr>
            <w:tcW w:type="dxa" w:w="1872"/>
          </w:tcPr>
          <w:p>
            <w:r>
              <w:rPr>
                <w:rFonts w:ascii="Arial" w:hAnsi="Arial"/>
                <w:sz w:val="20"/>
              </w:rPr>
              <w:t>High</w:t>
            </w:r>
          </w:p>
        </w:tc>
      </w:tr>
    </w:tbl>
    <w:p>
      <w:pPr>
        <w:spacing w:after="160" w:line="276" w:lineRule="auto"/>
      </w:pPr>
      <w:r>
        <w:rPr>
          <w:rFonts w:ascii="Arial" w:hAnsi="Arial"/>
          <w:color w:val="282828"/>
          <w:sz w:val="22"/>
        </w:rPr>
        <w:t>---</w:t>
      </w:r>
    </w:p>
    <w:p>
      <w:pPr>
        <w:spacing w:before="360" w:after="160"/>
      </w:pPr>
      <w:r>
        <w:rPr>
          <w:rFonts w:ascii="Arial" w:hAnsi="Arial"/>
          <w:b/>
          <w:color w:val="505A64"/>
          <w:sz w:val="32"/>
        </w:rPr>
        <w:t>23. Demo Walkthrough</w:t>
      </w:r>
    </w:p>
    <w:p>
      <w:pPr>
        <w:spacing w:before="280" w:after="120"/>
      </w:pPr>
      <w:r>
        <w:rPr>
          <w:rFonts w:ascii="Arial" w:hAnsi="Arial"/>
          <w:b/>
          <w:color w:val="505A64"/>
          <w:sz w:val="26"/>
        </w:rPr>
        <w:t>23.1 Operator Demo Journey</w:t>
      </w:r>
    </w:p>
    <w:p>
      <w:pPr>
        <w:spacing w:after="160" w:line="276" w:lineRule="auto"/>
      </w:pPr>
      <w:r>
        <w:rPr>
          <w:rFonts w:ascii="Arial" w:hAnsi="Arial"/>
          <w:color w:val="282828"/>
          <w:sz w:val="22"/>
        </w:rPr>
        <w:t>1. **Retinal Scan Authentication**: The user opens the dashboard and completes the biometric login process.</w:t>
      </w:r>
    </w:p>
    <w:p>
      <w:pPr>
        <w:spacing w:after="160" w:line="276" w:lineRule="auto"/>
      </w:pPr>
      <w:r>
        <w:rPr>
          <w:rFonts w:ascii="Arial" w:hAnsi="Arial"/>
          <w:color w:val="282828"/>
          <w:sz w:val="22"/>
        </w:rPr>
        <w:t>2. **Command Cockpit Inspection**: The user reviews the live telemetry dashboard, checking sensor charts and system logs.</w:t>
      </w:r>
    </w:p>
    <w:p>
      <w:pPr>
        <w:spacing w:after="160" w:line="276" w:lineRule="auto"/>
      </w:pPr>
      <w:r>
        <w:rPr>
          <w:rFonts w:ascii="Arial" w:hAnsi="Arial"/>
          <w:color w:val="282828"/>
          <w:sz w:val="22"/>
        </w:rPr>
        <w:t>3. **Inspect the 3D Twin**: The user opens the Digital Twin screen and clicks on a warning indicator to read a repair procedure recommendation.</w:t>
      </w:r>
    </w:p>
    <w:p>
      <w:pPr>
        <w:spacing w:after="160" w:line="276" w:lineRule="auto"/>
      </w:pPr>
      <w:r>
        <w:rPr>
          <w:rFonts w:ascii="Arial" w:hAnsi="Arial"/>
          <w:color w:val="282828"/>
          <w:sz w:val="22"/>
        </w:rPr>
        <w:t>4. **Review the Agent Council Debate**: The user opens the Agent Council screen to audit the discussion regarding a proposed capital allocation.</w:t>
      </w:r>
    </w:p>
    <w:p>
      <w:pPr>
        <w:spacing w:after="160" w:line="276" w:lineRule="auto"/>
      </w:pPr>
      <w:r>
        <w:rPr>
          <w:rFonts w:ascii="Arial" w:hAnsi="Arial"/>
          <w:color w:val="282828"/>
          <w:sz w:val="22"/>
        </w:rPr>
        <w:t>5. **Run Risk Simulations**: The user opens the Black Swan Predictor, toggling risk factors like ambient temperature to see how they impact failure probabilities.</w:t>
      </w:r>
    </w:p>
    <w:p>
      <w:pPr>
        <w:spacing w:after="160" w:line="276" w:lineRule="auto"/>
      </w:pPr>
      <w:r>
        <w:rPr>
          <w:rFonts w:ascii="Arial" w:hAnsi="Arial"/>
          <w:color w:val="282828"/>
          <w:sz w:val="22"/>
        </w:rPr>
        <w:t>6. **Voice Commands**: The user clicks the Voice AI microphone, says "Status report," and listens to the system's vocal summary.</w:t>
      </w:r>
    </w:p>
    <w:p>
      <w:pPr>
        <w:spacing w:after="160" w:line="276" w:lineRule="auto"/>
      </w:pPr>
      <w:r>
        <w:rPr>
          <w:rFonts w:ascii="Arial" w:hAnsi="Arial"/>
          <w:color w:val="282828"/>
          <w:sz w:val="22"/>
        </w:rPr>
        <w:t>---</w:t>
      </w:r>
    </w:p>
    <w:p>
      <w:pPr>
        <w:spacing w:before="360" w:after="160"/>
      </w:pPr>
      <w:r>
        <w:rPr>
          <w:rFonts w:ascii="Arial" w:hAnsi="Arial"/>
          <w:b/>
          <w:color w:val="505A64"/>
          <w:sz w:val="32"/>
        </w:rPr>
        <w:t>24. Recruiter Impact Section</w:t>
      </w:r>
    </w:p>
    <w:p>
      <w:pPr>
        <w:spacing w:after="160" w:line="276" w:lineRule="auto"/>
      </w:pPr>
      <w:r>
        <w:rPr>
          <w:rFonts w:ascii="Arial" w:hAnsi="Arial"/>
          <w:color w:val="282828"/>
          <w:sz w:val="22"/>
        </w:rPr>
        <w:t>This project demonstrates core competencies in:</w:t>
      </w:r>
    </w:p>
    <w:p>
      <w:pPr>
        <w:pStyle w:val="ListBullet"/>
        <w:spacing w:after="80"/>
      </w:pPr>
      <w:r>
        <w:rPr>
          <w:rFonts w:ascii="Arial" w:hAnsi="Arial"/>
          <w:b/>
          <w:sz w:val="22"/>
        </w:rPr>
        <w:t xml:space="preserve">Advanced AI Engineering: </w:t>
      </w:r>
      <w:r>
        <w:rPr>
          <w:rFonts w:ascii="Arial" w:hAnsi="Arial"/>
          <w:sz w:val="22"/>
        </w:rPr>
        <w:t>: Building multi-agent workflows with LangGraph and integrating Web Speech recognition and synthesis.</w:t>
      </w:r>
    </w:p>
    <w:p>
      <w:pPr>
        <w:pStyle w:val="ListBullet"/>
        <w:spacing w:after="80"/>
      </w:pPr>
      <w:r>
        <w:rPr>
          <w:rFonts w:ascii="Arial" w:hAnsi="Arial"/>
          <w:b/>
          <w:sz w:val="22"/>
        </w:rPr>
        <w:t xml:space="preserve">RAG Architectures: </w:t>
      </w:r>
      <w:r>
        <w:rPr>
          <w:rFonts w:ascii="Arial" w:hAnsi="Arial"/>
          <w:sz w:val="22"/>
        </w:rPr>
        <w:t>: Implementing vector database search, similarity calculations, and metadata filtering.</w:t>
      </w:r>
    </w:p>
    <w:p>
      <w:pPr>
        <w:pStyle w:val="ListBullet"/>
        <w:spacing w:after="80"/>
      </w:pPr>
      <w:r>
        <w:rPr>
          <w:rFonts w:ascii="Arial" w:hAnsi="Arial"/>
          <w:b/>
          <w:sz w:val="22"/>
        </w:rPr>
        <w:t xml:space="preserve">Systems Engineering: </w:t>
      </w:r>
      <w:r>
        <w:rPr>
          <w:rFonts w:ascii="Arial" w:hAnsi="Arial"/>
          <w:sz w:val="22"/>
        </w:rPr>
        <w:t>: Synthesizing audio with the Web Audio API, rendering responsive SVGs, and optimizing UI animations for smooth rendering.</w:t>
      </w:r>
    </w:p>
    <w:p>
      <w:pPr>
        <w:pStyle w:val="ListBullet"/>
        <w:spacing w:after="80"/>
      </w:pPr>
      <w:r>
        <w:rPr>
          <w:rFonts w:ascii="Arial" w:hAnsi="Arial"/>
          <w:b/>
          <w:sz w:val="22"/>
        </w:rPr>
        <w:t xml:space="preserve">Full-Stack Development: </w:t>
      </w:r>
      <w:r>
        <w:rPr>
          <w:rFonts w:ascii="Arial" w:hAnsi="Arial"/>
          <w:sz w:val="22"/>
        </w:rPr>
        <w:t>: Structuring Next.js applications, building backend APIs, and designing relational database schemas.</w:t>
      </w:r>
    </w:p>
    <w:p>
      <w:pPr>
        <w:spacing w:after="160" w:line="276" w:lineRule="auto"/>
      </w:pPr>
      <w:r>
        <w:rPr>
          <w:rFonts w:ascii="Arial" w:hAnsi="Arial"/>
          <w:color w:val="282828"/>
          <w:sz w:val="22"/>
        </w:rPr>
        <w:t>---</w:t>
      </w:r>
    </w:p>
    <w:p>
      <w:pPr>
        <w:spacing w:before="360" w:after="160"/>
      </w:pPr>
      <w:r>
        <w:rPr>
          <w:rFonts w:ascii="Arial" w:hAnsi="Arial"/>
          <w:b/>
          <w:color w:val="505A64"/>
          <w:sz w:val="32"/>
        </w:rPr>
        <w:t>25. Conclusion</w:t>
      </w:r>
    </w:p>
    <w:p>
      <w:pPr>
        <w:spacing w:after="160" w:line="276" w:lineRule="auto"/>
      </w:pPr>
      <w:r>
        <w:rPr>
          <w:rFonts w:ascii="Arial" w:hAnsi="Arial"/>
          <w:color w:val="282828"/>
          <w:sz w:val="22"/>
        </w:rPr>
        <w:t>AETHER-X demonstrates how cognitive agent systems can improve enterprise operations. By combining real-time telemetry, semantic document databases, and collaborative multi-agent reasoning into a single operating system, AETHER-X moves industrial management from reactive tracking to proactive decision-making. This prototype showcases the design, scalability, and performance standards required for modern enterprise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