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編寫說明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區塊鏈起源於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比特幣</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，2008年11月1日，一位自稱</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中本聰</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Nakamoto)的人發表了《比特幣:一種點對點的電子現金系統》一文，闡述了基於</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網路技術、加密技術、</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時間戳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技術、區塊鏈技術等的電子現金系統的構架理念，這標誌著比特幣的誕生。兩個月後理論步入實踐，2009年1月3日第一個序號為0的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創世區塊</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誕生。2009年1月9日出現序號為1的區塊，並與序號為0的創世區塊相連接形成了鏈，標誌著區塊鏈的誕生。</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區塊鏈是一個</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領域的術語。從本質上講，它是一個共用資料庫，存儲於其中的數據或資訊，具有“不可偽造”“全程留痕”“可以追溯”“公開透明”“集體維護”等特徵。基於這些特徵，</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奠定了堅實的“信任”基礎，創造了可靠的“合作”機制，具有廣闊的運用前景。</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2019年1月10日，</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國家互聯網資訊辦公室</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發佈《</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區塊鏈資訊服務管理規定</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  。2019年10月24日，在中央政治局第十八次集體學習時，習近平總書記強調，“把區塊鏈作為核心技術自主創新的重要突破口”</w:t>
      </w:r>
      <w:r>
        <w:rPr>
          <w:rFonts w:hint="default" w:eastAsia="宋体" w:asciiTheme="minorEastAsia" w:hAnsiTheme="minorEastAsia" w:cstheme="minorEastAsia"/>
          <w:color w:val="auto"/>
          <w:sz w:val="30"/>
          <w:szCs w:val="30"/>
          <w:lang w:eastAsia="zh-CN"/>
        </w:rPr>
        <w:t xml:space="preserve"> </w:t>
      </w:r>
      <w:r>
        <w:rPr>
          <w:rFonts w:hint="eastAsia" w:eastAsia="宋体" w:asciiTheme="minorEastAsia" w:hAnsiTheme="minorEastAsia" w:cstheme="minorEastAsia"/>
          <w:color w:val="auto"/>
          <w:sz w:val="30"/>
          <w:szCs w:val="30"/>
          <w:lang w:val="en-US" w:eastAsia="zh-CN"/>
        </w:rPr>
        <w:t>“加快推動區塊鏈技術和產業創新發展”。“區塊鏈”已走進大眾視野，成為社會的關注焦點。</w:t>
      </w:r>
      <w:bookmarkStart w:id="1" w:name="_GoBack"/>
      <w:bookmarkEnd w:id="1"/>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目錄</w:t>
      </w:r>
    </w:p>
    <w:p>
      <w:pPr>
        <w:numPr>
          <w:ilvl w:val="0"/>
          <w:numId w:val="1"/>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中心化與去中心化</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 xml:space="preserve">     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節點獎勵</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CN"/>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免責說明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行業分析</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區塊鏈的概念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Theme="minorEastAsia" w:hAnsiTheme="minorEastAsia" w:eastAsiaTheme="minorEastAsia" w:cstheme="minorEastAsia"/>
          <w:i w:val="0"/>
          <w:caps w:val="0"/>
          <w:color w:val="333333"/>
          <w:spacing w:val="0"/>
          <w:sz w:val="30"/>
          <w:szCs w:val="30"/>
        </w:rPr>
      </w:pPr>
      <w:r>
        <w:rPr>
          <w:rFonts w:hint="eastAsia" w:eastAsia="宋体" w:asciiTheme="minorEastAsia" w:hAnsiTheme="minorEastAsia" w:cstheme="minorEastAsia"/>
          <w:color w:val="auto"/>
          <w:sz w:val="30"/>
          <w:szCs w:val="30"/>
          <w:lang w:val="en-US" w:eastAsia="zh-CN"/>
        </w:rPr>
        <w:t>區塊鏈是一個</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資訊技術</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領域的</w:t>
      </w:r>
      <w:r>
        <w:rPr>
          <w:rFonts w:hint="eastAsia" w:eastAsia="宋体" w:asciiTheme="minorEastAsia" w:hAnsiTheme="minorEastAsia" w:cstheme="minorEastAsia"/>
          <w:color w:val="auto"/>
          <w:sz w:val="30"/>
          <w:szCs w:val="30"/>
          <w:lang w:val="en-US" w:eastAsia="zh-Hans"/>
        </w:rPr>
        <w:t>綜合</w:t>
      </w:r>
      <w:r>
        <w:rPr>
          <w:rFonts w:hint="eastAsia" w:eastAsia="宋体" w:asciiTheme="minorEastAsia" w:hAnsiTheme="minorEastAsia" w:cstheme="minorEastAsia"/>
          <w:color w:val="auto"/>
          <w:sz w:val="30"/>
          <w:szCs w:val="30"/>
          <w:lang w:val="en-US" w:eastAsia="zh-CN"/>
        </w:rPr>
        <w:t>術語。</w:t>
      </w:r>
      <w:r>
        <w:rPr>
          <w:rFonts w:hint="eastAsia" w:eastAsia="宋体" w:asciiTheme="minorEastAsia" w:hAnsiTheme="minorEastAsia" w:cstheme="minorEastAsia"/>
          <w:color w:val="auto"/>
          <w:sz w:val="30"/>
          <w:szCs w:val="30"/>
          <w:lang w:val="en-US" w:eastAsia="zh-Hans"/>
        </w:rPr>
        <w:t>自</w:t>
      </w:r>
      <w:r>
        <w:rPr>
          <w:rFonts w:hint="eastAsia" w:eastAsia="宋体" w:asciiTheme="minorEastAsia" w:hAnsiTheme="minorEastAsia" w:cstheme="minorEastAsia"/>
          <w:color w:val="auto"/>
          <w:sz w:val="30"/>
          <w:szCs w:val="30"/>
          <w:lang w:eastAsia="zh-Hans"/>
        </w:rPr>
        <w:t>2008</w:t>
      </w:r>
      <w:r>
        <w:rPr>
          <w:rFonts w:hint="eastAsia" w:eastAsia="宋体" w:asciiTheme="minorEastAsia" w:hAnsiTheme="minorEastAsia" w:cstheme="minorEastAsia"/>
          <w:color w:val="auto"/>
          <w:sz w:val="30"/>
          <w:szCs w:val="30"/>
          <w:lang w:val="en-US" w:eastAsia="zh-Hans"/>
        </w:rPr>
        <w:t>年發展至今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集當今多種技術於一體</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包括但不限於分佈式帳本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共識機制</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智能合約</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P</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P網路</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非對稱加密等</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在每個區塊鏈中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區塊即資訊塊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資訊以區塊的形式進行集成</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打包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並按照實際產生時間的先後順序進行連接</w:t>
      </w:r>
      <w:r>
        <w:rPr>
          <w:rFonts w:hint="eastAsia" w:eastAsia="宋体" w:asciiTheme="minorEastAsia" w:hAnsiTheme="minorEastAsia" w:cstheme="minorEastAsia"/>
          <w:color w:val="auto"/>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區塊鏈的發展趨勢及投資前景</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年比特幣網路運行以來</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區塊鏈各類技術進入了飛速發展的階段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年以來發展勢頭明顯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基於底層技術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公共服務領域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供應鏈領域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物聯網領域等不斷進行B端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C端的場景落地嘗試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DApp應用也不斷湧現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CN"/>
        </w:rPr>
        <w:t>2019年1月10日，</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國家互聯網資訊辦公室</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發佈《</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區塊鏈資訊服務管理規定</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w:t>
      </w:r>
      <w:bookmarkStart w:id="0" w:name="ref_[1]_13112042"/>
      <w:r>
        <w:rPr>
          <w:rFonts w:hint="eastAsia" w:eastAsia="宋体" w:asciiTheme="minorEastAsia" w:hAnsiTheme="minorEastAsia" w:cstheme="minorEastAsia"/>
          <w:sz w:val="30"/>
          <w:szCs w:val="30"/>
          <w:lang w:val="en-US" w:eastAsia="zh-CN"/>
        </w:rPr>
        <w:t> </w:t>
      </w:r>
      <w:bookmarkEnd w:id="0"/>
      <w:r>
        <w:rPr>
          <w:rFonts w:hint="eastAsia" w:eastAsia="宋体" w:asciiTheme="minorEastAsia" w:hAnsiTheme="minorEastAsia" w:cstheme="minorEastAsia"/>
          <w:sz w:val="30"/>
          <w:szCs w:val="30"/>
          <w:lang w:val="en-US" w:eastAsia="zh-CN"/>
        </w:rPr>
        <w:t> 。2019年10月24日，在中央政治局第十八次集體學習時，習近平總書記強調，“把區塊鏈作為核心技術自主創新的重要突破口”“加快推動區塊鏈技術和產業創新發展”。</w:t>
      </w:r>
      <w:r>
        <w:rPr>
          <w:rFonts w:hint="eastAsia" w:eastAsia="宋体" w:asciiTheme="minorEastAsia" w:hAnsiTheme="minorEastAsia" w:cstheme="minorEastAsia"/>
          <w:sz w:val="30"/>
          <w:szCs w:val="30"/>
          <w:lang w:val="en-US" w:eastAsia="zh-Hans"/>
        </w:rPr>
        <w:t>區塊鏈正式走進大眾視野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成為社會的關注焦點</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影響將不僅僅體現在經濟上，還體現在文化和政治上。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在未來</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區塊鏈的場景應用將不可估量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中心化與去中心化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對於去中心化，很多人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認為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去中心化就是不要中心。去中心化，不是不要中心，而是由節點來自由選擇中心、自由決定中心。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決定節點。節點必須依賴中心，節點離開了中心就無法生存。在去中心化中，任何人都是一個節點，任何人也都可以成為一個中心。任何中心都不是永久的，而是階段性的，任何中心對節點都不具有強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智能合約</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程式不只是一個可以自動執行的電腦程式：它自己就是一個系統參與者。它對接收到的資訊進行回應，它可以接收和儲存價值，也可以向外發送資訊和價值。這個程式就像一個可以被信任的人，可以臨時保管資產，總是按照事先的規則執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智能合約模型：它是運行在可複製、共用的帳本上的電腦程式，可以處理資訊，接收、儲存和發送價值。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Ahead平臺</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Ahead簡介</w:t>
      </w:r>
    </w:p>
    <w:p>
      <w:pPr>
        <w:numPr>
          <w:ilvl w:val="0"/>
          <w:numId w:val="0"/>
        </w:numPr>
        <w:bidi w:val="0"/>
        <w:ind w:left="420" w:leftChars="0"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任務及願景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區塊鏈概念自2008年底由匿名者中本聰提出後不斷發展，由比特幣到以太坊，智能合約的出現大量的應用開始浮現，可是這跟傳統技術距離還是差天共地…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編程語言 - Go Language 2009年由Google 推出，至今佔有率已達全球十大之一，箇中原因和代碼庫有很大關係，當程式員編程時每次也需要由零開始而不是從前人所作調用，一個複雜的程式何年何月才會出現？更莫說操作系統了！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約庫為程式員提供方便，更提供誘因讓更多開發人員為智能合約發展打好基礎，每當智能合約被調用時，使用者需付出（Force），而該智能合約的作者能得到部份獎勵，吸引更多人開發出更實用更複雜的智能合約庫供開發者調用，再複雜的應用甚至操作系統即將誕生，真正的區塊鏈操作系統大門從此開啟。</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Ahead的優勢特點</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在區塊鏈飛速發展的時代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無論是比特幣還是以太坊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這些都是區塊鏈技術中的佼佼者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但人們始終離打開區塊鏈應用的大門還差一點</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智能合約</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一種特殊協議，旨在提供、驗證及執行合約。</w:t>
      </w:r>
      <w:r>
        <w:rPr>
          <w:rFonts w:hint="eastAsia" w:eastAsia="宋体" w:asciiTheme="minorEastAsia" w:hAnsiTheme="minorEastAsia" w:cstheme="minorEastAsia"/>
          <w:color w:val="auto"/>
          <w:sz w:val="30"/>
          <w:szCs w:val="30"/>
          <w:lang w:val="en-US" w:eastAsia="zh-Hans"/>
        </w:rPr>
        <w:t>智能合約的執行效率低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編寫智能合約的成本過高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這已然成為智能合約的痛點</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Ahead的智能合約庫將打破現一觀點</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Ahead的技術架構</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網路層</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網路由運行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軟體的節點構成 P2P 網路。</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的整體網路架構可分為三層：節點網路層、終端服務層、IoT 終端層。</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節點網路層由運行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核心節點程式的節點構成，節點之間同步校驗區塊和交易數據，並進行共識組織區塊數據。終端服務網形成分佈式終端後臺，為 IoT(Internet ofThings)終端提供接入服務。 </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為了支撐龐大的 IoT 業務，節點網路與終端服務網共同組成</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服務平臺。IoT 終端層包括智能感測器、控制器和移動終端，內嵌輕客戶端程式，本地保存私鑰完成交易構建和校驗。</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共識機制</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共識機制是區塊鏈必不可少的一部分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在共識機制方面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為提高提案結束消息準確性和及時性，則由獨立P2P網絡傳輸該消息（與共識傳輸同P2P網絡），提高提案者接收提案結束消息的及時性；（P2P網絡分區：1、共識傳輸P2P網絡，2、區塊傳輸P2P網絡，3、交易傳輸P2P網絡）</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區塊結構</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主鍊和子鏈的主塊之間有直接關聯，即一個主塊頭中包含有上一個主塊的塊HASH，該關聯可用於塊快速較驗，只需要同步主塊就可以完成較驗。</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主鍊和子鏈的主塊關聯前一天的主塊HASH，只有一天邊界的主塊才有前一天的邊界主塊的塊HASH，其他主塊沒有該參數，主要用於全鏈掃描較驗使用，用於輕節點、輕錢包、數據裁剪等功能使用。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區塊結構：包括區塊頭1，區塊頭2，區塊體；區塊頭1：區塊編號，時間戳，前一區塊HASH，前高度主塊HASH（主塊才有），前一天主塊HASH（一天邊界主塊才有），區塊頭2HASH等等（塊HASH由區塊頭1生成）；區塊頭2：狀態根HASH，交易根HASH，獎勵交易，布隆過濾器，共識數據等等；區塊體：交易表。</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區塊節點</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Ahead節點</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節點指的是區塊鏈網路中的電腦，包含手機，礦機和服務器等等。節點可分為“全節點”和“輕節點”，全節點就是擁有全網所有的交易數據的節點，輕節點則是只擁有和自己相關的交易數據節點。</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而在Hash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驗證節點和提案節點需要投票鎖定後才能參與共識</w:t>
      </w:r>
      <w:r>
        <w:rPr>
          <w:rFonts w:hint="eastAsia" w:eastAsia="宋体" w:asciiTheme="minorEastAsia" w:hAnsiTheme="minorEastAsia" w:cstheme="minorEastAsia"/>
          <w:sz w:val="30"/>
          <w:szCs w:val="30"/>
        </w:rPr>
        <w:t>。</w:t>
      </w:r>
      <w:r>
        <w:rPr>
          <w:rFonts w:hint="eastAsia" w:eastAsia="宋体" w:asciiTheme="minorEastAsia" w:hAnsiTheme="minorEastAsia" w:cstheme="minorEastAsia"/>
          <w:sz w:val="30"/>
          <w:szCs w:val="30"/>
        </w:rPr>
        <w:t>投票後有初始鎖定期（鎖定期在10至30天），鎖定期內TOKEN不能流動，鎖定期後可以流動，鎖定期後需要轉出TOKEN，需要一段時間的等待期（一般為一天），防止作惡後立即逃跑問題</w:t>
      </w:r>
      <w:r>
        <w:rPr>
          <w:rFonts w:hint="eastAsia" w:eastAsia="宋体" w:asciiTheme="minorEastAsia" w:hAnsiTheme="minorEastAsia" w:cstheme="minorEastAsia"/>
          <w:sz w:val="30"/>
          <w:szCs w:val="30"/>
        </w:rPr>
        <w:t>。</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 xml:space="preserve"> </w:t>
      </w:r>
      <w:r>
        <w:rPr>
          <w:rFonts w:hint="eastAsia" w:eastAsia="宋体" w:asciiTheme="minorEastAsia" w:hAnsiTheme="minorEastAsia" w:cstheme="minorEastAsia"/>
          <w:sz w:val="30"/>
          <w:szCs w:val="30"/>
          <w:lang w:val="en-US" w:eastAsia="zh-Hans"/>
        </w:rPr>
        <w:t>同時</w:t>
      </w:r>
      <w:r>
        <w:rPr>
          <w:rFonts w:hint="eastAsia" w:eastAsia="宋体" w:asciiTheme="minorEastAsia" w:hAnsiTheme="minorEastAsia" w:cstheme="minorEastAsia"/>
          <w:sz w:val="30"/>
          <w:szCs w:val="30"/>
        </w:rPr>
        <w:t>節點自我投票有最小數量要求，超過小最數量才能成為一個驗證節點或提案節點，系統有最小節點自我投票數量，但節點可以多自我投票，高自我投票的節點，擁有更高的侯選節點權重，可獲得更高收益（即節點擔保費用越高，則收益越高，並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節點收益</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普通用戶</w:t>
      </w:r>
      <w:r>
        <w:rPr>
          <w:rFonts w:hint="eastAsia" w:eastAsia="宋体" w:asciiTheme="minorEastAsia" w:hAnsiTheme="minorEastAsia" w:cstheme="minorEastAsia"/>
          <w:sz w:val="30"/>
          <w:szCs w:val="30"/>
          <w:lang w:val="en-US" w:eastAsia="zh-Hans"/>
        </w:rPr>
        <w:t>由於</w:t>
      </w:r>
      <w:r>
        <w:rPr>
          <w:rFonts w:hint="eastAsia" w:eastAsia="宋体" w:asciiTheme="minorEastAsia" w:hAnsiTheme="minorEastAsia" w:cstheme="minorEastAsia"/>
          <w:sz w:val="30"/>
          <w:szCs w:val="30"/>
        </w:rPr>
        <w:t>無法建立節點服務器，或沒有足夠</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TOKEN達到最小自我投票，則可以選擇投票其他節點獲得收益</w:t>
      </w:r>
      <w:r>
        <w:rPr>
          <w:rFonts w:hint="eastAsia" w:eastAsia="宋体" w:asciiTheme="minorEastAsia" w:hAnsiTheme="minorEastAsia" w:cstheme="minorEastAsia"/>
          <w:sz w:val="30"/>
          <w:szCs w:val="30"/>
        </w:rPr>
        <w:t>。</w:t>
      </w:r>
      <w:r>
        <w:rPr>
          <w:rFonts w:hint="eastAsia" w:eastAsia="宋体" w:asciiTheme="minorEastAsia" w:hAnsiTheme="minorEastAsia" w:cstheme="minorEastAsia"/>
          <w:sz w:val="30"/>
          <w:szCs w:val="30"/>
        </w:rPr>
        <w:t>節點獲得的獎勵，按節點各投票人的投票TOKEN數佔比來分配獎勵</w:t>
      </w:r>
      <w:r>
        <w:rPr>
          <w:rFonts w:hint="eastAsia" w:eastAsia="宋体" w:asciiTheme="minorEastAsia" w:hAnsiTheme="minorEastAsia" w:cstheme="minorEastAsia"/>
          <w:sz w:val="30"/>
          <w:szCs w:val="30"/>
        </w:rPr>
        <w:t>。</w:t>
      </w:r>
      <w:r>
        <w:rPr>
          <w:rFonts w:hint="eastAsia" w:eastAsia="宋体" w:asciiTheme="minorEastAsia" w:hAnsiTheme="minorEastAsia" w:cstheme="minorEastAsia"/>
          <w:sz w:val="30"/>
          <w:szCs w:val="30"/>
        </w:rPr>
        <w:t>被選中為侯選節點後，每個節點的收益是相同的，與投票TOKEN數量無關；</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節點主會收取節點擁金，即節點主建立服務器有成本開銷，需要向投票人收取擁金來支持成本開銷，節點主在創建節點時，需要設置擁金比例（0%~100%），節點地址設置了擁金比例，就不能更改，如需更改，則需要另建節點地址，該功能防止節點主隨機更改擁金比例，損害投票人的權益</w:t>
      </w:r>
      <w:r>
        <w:rPr>
          <w:rFonts w:hint="eastAsia" w:eastAsia="宋体" w:asciiTheme="minorEastAsia" w:hAnsiTheme="minorEastAsia" w:cstheme="minorEastAsia"/>
          <w:sz w:val="30"/>
          <w:szCs w:val="30"/>
        </w:rPr>
        <w:t>。</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rPr>
        <w:t>獎勵利率與投票抵押率和通貨膨脹率相關，即塊獎勵數量週期性變動（一個週期內是固定的），塊獎勵數根據投票抵押率和通貨膨脹率等相關數據計算而得</w:t>
      </w:r>
      <w:r>
        <w:rPr>
          <w:rFonts w:hint="eastAsia" w:eastAsia="宋体" w:asciiTheme="minorEastAsia" w:hAnsiTheme="minorEastAsia" w:cstheme="minorEastAsia"/>
          <w:sz w:val="30"/>
          <w:szCs w:val="30"/>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安全主鏈</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安全主鏈為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 xml:space="preserve">樹狀結構中的主鏈，所有的支鏈均為其“後代”，其被用於支撐全區塊系統的安全和共識，在 P2P 網路中主鏈的同步廣播消息轉發優先順序高於應用支鏈。安全主鏈除了記錄主鏈 Token 轉移，還保留 DPoS 節點協商關鍵過程數據。安全主鏈的區塊之間不能插入子塊，只能按照既定出塊間隔增長。安全主鏈以區塊系統創世區塊為起點，安全主鏈被用於支撐全區塊系統的安全和共識，所有應用分支節點都需要同步和校驗主鏈區塊頭資訊。新節點接入網絡後，首先完成主鏈同步，才開始進行對應應用分支同步。 </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去中心化系統</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作為一個去中心化性質的平臺，</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由完全透明的去中心化自治體系支撐其管理架構。這結構讓每個通證持有者清晰瞭解公鏈基礎內的全部技術構建和價值流轉、充分體現區塊鏈的公信價值。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內的所有決策均以通證持有方的公投決策為依據，所有技術更新均由社區公示。這完全去中心化的管理體系將完全避免了傳統機構的中心化管理弊端。為中心化管理層專權，篡改資料和獨自決策集團走向等問題提供了優良及無信任風險的解決方案。</w:t>
      </w:r>
    </w:p>
    <w:p>
      <w:pPr>
        <w:bidi w:val="0"/>
        <w:ind w:firstLine="600" w:firstLineChars="200"/>
        <w:rPr>
          <w:rFonts w:hint="eastAsia" w:asciiTheme="minorEastAsia" w:hAnsiTheme="minorEastAsia" w:eastAsiaTheme="minorEastAsia" w:cstheme="minorEastAsia"/>
          <w:sz w:val="30"/>
          <w:szCs w:val="30"/>
          <w:lang w:val="en-US" w:eastAsia="zh-CN"/>
        </w:rPr>
      </w:pPr>
    </w:p>
    <w:p>
      <w:pPr>
        <w:numPr>
          <w:numId w:val="0"/>
        </w:numPr>
        <w:bidi w:val="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Ahead應用</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智能合約庫</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Ahead採用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的技術</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高效率的執行力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開發人員的高收益</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智能合約庫雖然在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生態中已經被很早的應用，但是很多合約庫的作者付出了聰明才智，實際上並沒有獲得利益，調用合約產生的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費用歸礦工所有，而合約的作者在整個生態中默默的做貢獻，</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生態的模型確</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可以讓合約的作者與出塊者共同獲利，為了提高合約的安全性增加了合約的審核機制，在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的管理機制下，提交的合約被社區所審核，才能被系統所調用. 因此也要求合約的作者提交合約的時候需要支付一筆審核費用，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20來說，系統中有太多個相同的合約在跑，他們的代碼相同，只是初始化的參數不同，給鏈也帶來很大的數據重複，降低了鏈的存儲效率。</w:t>
      </w:r>
    </w:p>
    <w:p>
      <w:pPr>
        <w:pStyle w:val="3"/>
        <w:ind w:firstLine="600" w:firstLineChars="200"/>
        <w:rPr>
          <w:rFonts w:hint="eastAsia" w:asciiTheme="minorEastAsia" w:hAnsiTheme="minorEastAsia" w:eastAsiaTheme="minorEastAsia" w:cstheme="minorEastAsia"/>
          <w:b/>
          <w:bCs/>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系統中，相同的合約只會審核一份，極大的減輕了系統的負擔. 當合約被調用的時候花費的GAS 費用按照一定的比例給到合約作者的帳戶。</w:t>
      </w:r>
      <w:r>
        <w:rPr>
          <w:rFonts w:hint="eastAsia" w:eastAsia="宋体" w:asciiTheme="minorEastAsia" w:hAnsiTheme="minorEastAsia" w:cstheme="minorEastAsia"/>
          <w:color w:val="auto"/>
          <w:sz w:val="30"/>
          <w:szCs w:val="30"/>
          <w:lang w:val="en-US" w:eastAsia="zh-Hans"/>
        </w:rPr>
        <w:t>這也為更好的區塊鏈應用打下基礎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從而促使更多的程式員願意往區塊鏈發展</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更有機會打破區塊鏈的現有格局</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分層確定性錢包</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Ahead現有的產品中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分層確定性錢包是貨幣兌換中不可忽視的一部分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輕量化的設計使用戶能在不同的場景中隨時隨地的使用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而多元化的設計能保證用戶不用頻繁的更換錢包進行貨幣兌換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從而降低時間上的成本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增加用戶的依賴度</w:t>
      </w:r>
      <w:r>
        <w:rPr>
          <w:rFonts w:hint="eastAsia" w:eastAsia="宋体" w:asciiTheme="minorEastAsia" w:hAnsiTheme="minorEastAsia" w:cstheme="minorEastAsia"/>
          <w:color w:val="auto"/>
          <w:sz w:val="30"/>
          <w:szCs w:val="30"/>
          <w:lang w:eastAsia="zh-Hans"/>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HAH發行機制</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HAH發行計畫</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發行週期</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收益說明</w:t>
      </w:r>
    </w:p>
    <w:p>
      <w:pPr>
        <w:numPr>
          <w:ilvl w:val="0"/>
          <w:numId w:val="0"/>
        </w:numPr>
        <w:bidi w:val="0"/>
        <w:ind w:firstLine="420" w:firstLineChars="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使用計畫</w:t>
      </w:r>
    </w:p>
    <w:p>
      <w:pPr>
        <w:numPr>
          <w:ilvl w:val="0"/>
          <w:numId w:val="0"/>
        </w:numPr>
        <w:bidi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發展戰略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風險提示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在 BTCA 的開發、維護和運營過程中存在著風險，這其中很多都會超出開發團隊的控制。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市場風險</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BTCA 的價格與整個數字貨幣市場形勢密不可分，如市場行情整體低迷或存在其他不可控因素的影響，則可能造成 BTCA 本身即使具備良好的前景，但價格依然長期處於被低估的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狀態。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監管風險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由於區塊鏈的發展尚處早期，在全球沒有有關募集過程中的前置要求、交易要求、資訊披露要求、鎖定要求等相關的法規檔。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競爭風險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當前區塊鏈領域專案眾多，競爭十分激烈，存在較強的市場競爭和專案運營壓力。並且隨著資訊技術和移動互聯網的發展，其他應用平臺的層出不窮和不斷擴張，BTCA 將面臨持續的運營壓力和一定的市場競爭風險。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人才流失風險</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BTCA 聚集了一批在各自專業領域具有領先優勢和豐富經驗的技術團隊和顧問專家，其中不乏長期從事區塊鏈行業的專業人員以及有豐富互聯網產品開發和運營經驗的核心團隊。核心團隊的穩定和顧問資源對 BTCA 保持業內核心競爭力具有重要意義。在今後的發展中，不排除有核心人員離開，核心人員或顧問團隊的流失，可能會影響平臺的穩定運營或對未來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發展帶來一定的不利影響。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駭客或盜竊風險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駭客或其他組織或國家均有以任何方法打斷 BTCA 應用或功能的可能性，包括但不限於拒絕服務攻擊、女巫攻擊、遊襲、惡意軟體攻擊或一致性攻擊等。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核心協議風險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BTCA 目前基於某個特定的鏈開發，儘管團隊會挑選目前最安全穩定的區塊鏈作為基礎設施，但該鏈發生的任何故障，不可預期的功能問題或遭受攻擊都有可能導致 BTCA 以難以預料的方式停止工作或功能缺失。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系統性風險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軟體中被忽視的致命缺陷或全球網路基礎設施大規模故障造成的風險。雖然其中部分風險將隨著時間的推移大幅度減輕，比如修復漏洞和突破計算瓶頸，但其他部分風險依然不可預測，比如可能導致部分或全球互聯網中斷的政治因素或自然災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無法預料的風險</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於密碼學的數字金幣是一種全新的技術，除了本白皮書內提及的風險外，還存在著一些創始團隊尚未提及或尚未預料到的風險。此外，其他風險也有可能突然出現，或者以多種已經提及的風險的組合的方式出現。</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免責說明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本網站的宗旨是在不違反國際相關法律法規的前提下，盡可能地為全球廣大數字資產愛好者及投資者提供</w:t>
      </w:r>
      <w:r>
        <w:rPr>
          <w:rFonts w:hint="eastAsia" w:eastAsia="宋体" w:asciiTheme="minorEastAsia" w:hAnsiTheme="minorEastAsia" w:cstheme="minorEastAsia"/>
          <w:color w:val="000000"/>
          <w:kern w:val="0"/>
          <w:sz w:val="30"/>
          <w:szCs w:val="30"/>
          <w:lang w:val="en-US" w:eastAsia="zh-Hans" w:bidi="ar"/>
        </w:rPr>
        <w:t>一個平臺</w:t>
      </w:r>
      <w:r>
        <w:rPr>
          <w:rFonts w:hint="eastAsia" w:eastAsia="宋体" w:asciiTheme="minorEastAsia" w:hAnsiTheme="minorEastAsia" w:cstheme="minorEastAsia"/>
          <w:color w:val="000000"/>
          <w:kern w:val="0"/>
          <w:sz w:val="30"/>
          <w:szCs w:val="30"/>
          <w:lang w:val="en-US" w:eastAsia="zh-CN" w:bidi="ar"/>
        </w:rPr>
        <w:t>。禁止使用本網站從事洗錢、走私、商業賄賂等一切非法交易活動，若發現此類事件，本站將凍結帳戶，立即報送有權機關。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當有權機關出示相應的調查檔要求本站配合對指定用戶進行調查時，或對用戶帳戶採取查封、凍結或者劃轉等措施時，本站將按照有權機關的要求協助提供相應的用戶數據，或進行相應的操作。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本網站使用者因為違反本聲明的規定而觸犯國際相關法律的，本站作為服務的提供方，有義務對平臺的規則及服務進行完善，但本網站並無觸犯國際相關法律的動機和事實，對使用者的行為不承擔任何連帶作用。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凡以任何方式登錄本網站或直接、間接使用本網站服務者，視為自願接受本網站聲明的約束。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2BEF788B"/>
    <w:rsid w:val="2FDBBB37"/>
    <w:rsid w:val="77EDE431"/>
    <w:rsid w:val="933AF027"/>
    <w:rsid w:val="AFCF0876"/>
    <w:rsid w:val="AFFA8846"/>
    <w:rsid w:val="BEDA6822"/>
    <w:rsid w:val="BEEED120"/>
    <w:rsid w:val="FF7FC616"/>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細明體" w:hAnsi="細明體" w:eastAsia="細明體" w:cs="Courier New"/>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2022-02-23T22:32:00Z</dcterms:created>
  <dc:creator>apple</dc:creator>
  <cp:lastModifiedBy>apple</cp:lastModifiedBy>
  <dcterms:modified xsi:type="dcterms:W3CDTF">2022-02-24T16:01:57Z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