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after="0" w:lineRule="auto"/>
        <w:ind w:left="0" w:firstLine="0"/>
        <w:jc w:val="left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دیاگرامی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دوکلاسه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چندکلاسه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740704</wp:posOffset>
            </wp:positionV>
            <wp:extent cx="5943600" cy="2413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گذاشت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Task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Transforms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بخشد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مصنوعی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Augmentation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تعادل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imbalance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Segmentation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گوناگونی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MSE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Entropy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Optimizer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T3Bg/HaLXgZAeWzqz3EBAW+U+w==">CgMxLjAyCGguZ2pkZ3hzOAByITFXTHRXMEJSU1pFXzF1aXl4azNmeG91SkhlMlE0TG8xUQ==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