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3E0" w:rsidRPr="00B67582" w:rsidRDefault="006573E0" w:rsidP="008A11D1">
      <w:pPr>
        <w:spacing w:after="120" w:line="240" w:lineRule="auto"/>
        <w:jc w:val="center"/>
        <w:rPr>
          <w:rFonts w:ascii="Garamond" w:hAnsi="Garamond" w:cs="Arial"/>
          <w:b/>
          <w:sz w:val="24"/>
        </w:rPr>
      </w:pPr>
    </w:p>
    <w:p w:rsidR="00095370" w:rsidRPr="00B67582" w:rsidRDefault="00D410D7" w:rsidP="008A11D1">
      <w:pPr>
        <w:spacing w:after="120" w:line="240" w:lineRule="auto"/>
        <w:jc w:val="center"/>
        <w:rPr>
          <w:rFonts w:ascii="Garamond" w:hAnsi="Garamond" w:cs="Arial"/>
          <w:b/>
          <w:color w:val="002345"/>
          <w:sz w:val="24"/>
        </w:rPr>
      </w:pPr>
      <w:r w:rsidRPr="00B67582">
        <w:rPr>
          <w:rFonts w:ascii="Garamond" w:hAnsi="Garamond" w:cs="Arial"/>
          <w:b/>
          <w:color w:val="002345"/>
          <w:sz w:val="24"/>
        </w:rPr>
        <w:t>Hands-on training on poverty measurement</w:t>
      </w:r>
    </w:p>
    <w:p w:rsidR="008A11D1" w:rsidRPr="00B67582" w:rsidRDefault="00095370" w:rsidP="00A562E8">
      <w:pPr>
        <w:spacing w:after="120" w:line="240" w:lineRule="auto"/>
        <w:jc w:val="center"/>
        <w:rPr>
          <w:rFonts w:ascii="Garamond" w:hAnsi="Garamond" w:cs="Arial"/>
          <w:b/>
          <w:color w:val="002345"/>
          <w:sz w:val="24"/>
        </w:rPr>
      </w:pPr>
      <w:r w:rsidRPr="00B67582">
        <w:rPr>
          <w:rFonts w:ascii="Garamond" w:hAnsi="Garamond" w:cs="Arial"/>
          <w:b/>
          <w:color w:val="002345"/>
          <w:sz w:val="24"/>
        </w:rPr>
        <w:t xml:space="preserve">Exercises – </w:t>
      </w:r>
      <w:r w:rsidR="003D31A3" w:rsidRPr="00B67582">
        <w:rPr>
          <w:rFonts w:ascii="Garamond" w:hAnsi="Garamond" w:cs="Arial"/>
          <w:b/>
          <w:color w:val="002345"/>
          <w:sz w:val="24"/>
        </w:rPr>
        <w:t>Durables</w:t>
      </w:r>
    </w:p>
    <w:p w:rsidR="00A562E8" w:rsidRPr="00B67582" w:rsidRDefault="00A562E8" w:rsidP="00A562E8">
      <w:pPr>
        <w:spacing w:after="120" w:line="240" w:lineRule="auto"/>
        <w:jc w:val="center"/>
        <w:rPr>
          <w:rFonts w:ascii="Garamond" w:hAnsi="Garamond" w:cs="Arial"/>
          <w:b/>
          <w:color w:val="002345"/>
          <w:sz w:val="24"/>
        </w:rPr>
      </w:pPr>
    </w:p>
    <w:p w:rsidR="00A562E8" w:rsidRPr="00B67582" w:rsidRDefault="00DA42DF" w:rsidP="00C44A71">
      <w:p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>This proble</w:t>
      </w:r>
      <w:r w:rsidR="00397FE0" w:rsidRPr="00B67582">
        <w:rPr>
          <w:rFonts w:ascii="Garamond" w:hAnsi="Garamond" w:cs="Arial"/>
        </w:rPr>
        <w:t xml:space="preserve">m set </w:t>
      </w:r>
      <w:r w:rsidRPr="00B67582">
        <w:rPr>
          <w:rFonts w:ascii="Garamond" w:hAnsi="Garamond" w:cs="Arial"/>
        </w:rPr>
        <w:t>consists of two parts and are based on a hypothet</w:t>
      </w:r>
      <w:r w:rsidR="00890DD6">
        <w:rPr>
          <w:rFonts w:ascii="Garamond" w:hAnsi="Garamond" w:cs="Arial"/>
        </w:rPr>
        <w:t>ical country dataset using Stata</w:t>
      </w:r>
      <w:r w:rsidRPr="00B67582">
        <w:rPr>
          <w:rFonts w:ascii="Garamond" w:hAnsi="Garamond" w:cs="Arial"/>
        </w:rPr>
        <w:t>. Throughout this exercise, use “</w:t>
      </w:r>
      <w:r w:rsidR="00890DD6" w:rsidRPr="00890DD6">
        <w:rPr>
          <w:rFonts w:ascii="Garamond" w:hAnsi="Garamond" w:cs="Arial"/>
          <w:b/>
        </w:rPr>
        <w:t>04_durables_ex</w:t>
      </w:r>
      <w:r w:rsidR="00890DD6">
        <w:rPr>
          <w:rFonts w:ascii="Garamond" w:hAnsi="Garamond" w:cs="Arial"/>
          <w:b/>
        </w:rPr>
        <w:t>.dta</w:t>
      </w:r>
      <w:r w:rsidR="00890DD6">
        <w:rPr>
          <w:rFonts w:ascii="Garamond" w:hAnsi="Garamond" w:cs="Arial"/>
        </w:rPr>
        <w:t xml:space="preserve">” </w:t>
      </w:r>
      <w:r w:rsidRPr="00B67582">
        <w:rPr>
          <w:rFonts w:ascii="Garamond" w:hAnsi="Garamond" w:cs="Arial"/>
        </w:rPr>
        <w:t>and “</w:t>
      </w:r>
      <w:r w:rsidRPr="00B67582">
        <w:rPr>
          <w:rFonts w:ascii="Garamond" w:hAnsi="Garamond" w:cs="Arial"/>
          <w:b/>
        </w:rPr>
        <w:t>cpi.xlsx</w:t>
      </w:r>
      <w:r w:rsidRPr="00B67582">
        <w:rPr>
          <w:rFonts w:ascii="Garamond" w:hAnsi="Garamond" w:cs="Arial"/>
        </w:rPr>
        <w:t xml:space="preserve">” available on the </w:t>
      </w:r>
      <w:r w:rsidR="00D65216" w:rsidRPr="00B67582">
        <w:rPr>
          <w:rFonts w:ascii="Garamond" w:hAnsi="Garamond" w:cs="Arial"/>
        </w:rPr>
        <w:t>S</w:t>
      </w:r>
      <w:r w:rsidR="00EB0D57" w:rsidRPr="00B67582">
        <w:rPr>
          <w:rFonts w:ascii="Garamond" w:hAnsi="Garamond" w:cs="Arial"/>
        </w:rPr>
        <w:t xml:space="preserve">park </w:t>
      </w:r>
      <w:r w:rsidRPr="00B67582">
        <w:rPr>
          <w:rFonts w:ascii="Garamond" w:hAnsi="Garamond" w:cs="Arial"/>
        </w:rPr>
        <w:t>page. We strongly recommend that you create a do-file for this exercise so that you can reproduce the results whenever necessary.</w:t>
      </w:r>
    </w:p>
    <w:p w:rsidR="00B24CCB" w:rsidRPr="00B67582" w:rsidRDefault="00B24CCB" w:rsidP="00C44A71">
      <w:p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  <w:b/>
        </w:rPr>
        <w:t>EXERCISE 1</w:t>
      </w:r>
      <w:r w:rsidR="009A3010" w:rsidRPr="00B67582">
        <w:rPr>
          <w:rFonts w:ascii="Garamond" w:hAnsi="Garamond" w:cs="Arial"/>
        </w:rPr>
        <w:t xml:space="preserve">: </w:t>
      </w:r>
      <w:r w:rsidRPr="00B67582">
        <w:rPr>
          <w:rFonts w:ascii="Garamond" w:hAnsi="Garamond" w:cs="Arial"/>
        </w:rPr>
        <w:t>Estimate of the flow of services from durables</w:t>
      </w:r>
    </w:p>
    <w:p w:rsidR="00BF61D4" w:rsidRPr="00B67582" w:rsidRDefault="001B35D2" w:rsidP="004C560E">
      <w:p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 xml:space="preserve">Consider the case when there is complete information in the </w:t>
      </w:r>
      <w:r w:rsidR="00BE34DA" w:rsidRPr="00B67582">
        <w:rPr>
          <w:rFonts w:ascii="Garamond" w:hAnsi="Garamond" w:cs="Arial"/>
        </w:rPr>
        <w:t>household survey</w:t>
      </w:r>
      <w:r w:rsidR="00F02ADE" w:rsidRPr="00B67582">
        <w:rPr>
          <w:rFonts w:ascii="Garamond" w:hAnsi="Garamond" w:cs="Arial"/>
        </w:rPr>
        <w:t>:</w:t>
      </w:r>
      <w:r w:rsidRPr="00B67582">
        <w:rPr>
          <w:rFonts w:ascii="Garamond" w:hAnsi="Garamond" w:cs="Arial"/>
        </w:rPr>
        <w:t xml:space="preserve"> </w:t>
      </w:r>
      <w:r w:rsidRPr="00B67582">
        <w:rPr>
          <w:rFonts w:ascii="Garamond" w:hAnsi="Garamond" w:cs="Arial"/>
          <w:i/>
        </w:rPr>
        <w:t>current value</w:t>
      </w:r>
      <w:r w:rsidR="00460B7E" w:rsidRPr="00B67582">
        <w:rPr>
          <w:rFonts w:ascii="Garamond" w:hAnsi="Garamond" w:cs="Arial"/>
          <w:i/>
        </w:rPr>
        <w:t xml:space="preserve"> </w:t>
      </w:r>
      <w:r w:rsidR="00460B7E" w:rsidRPr="00B67582">
        <w:rPr>
          <w:rFonts w:ascii="Garamond" w:hAnsi="Garamond" w:cs="Arial"/>
        </w:rPr>
        <w:t>(</w:t>
      </w:r>
      <w:r w:rsidR="00460B7E" w:rsidRPr="00B67582">
        <w:rPr>
          <w:rFonts w:ascii="Garamond" w:hAnsi="Garamond" w:cs="Arial"/>
          <w:b/>
        </w:rPr>
        <w:t>val_td</w:t>
      </w:r>
      <w:r w:rsidR="00460B7E" w:rsidRPr="00B67582">
        <w:rPr>
          <w:rFonts w:ascii="Garamond" w:hAnsi="Garamond" w:cs="Arial"/>
        </w:rPr>
        <w:t>)</w:t>
      </w:r>
      <w:r w:rsidR="00890DD6">
        <w:rPr>
          <w:rFonts w:ascii="Garamond" w:hAnsi="Garamond" w:cs="Arial"/>
        </w:rPr>
        <w:t xml:space="preserve"> of durable goods</w:t>
      </w:r>
      <w:r w:rsidRPr="00B67582">
        <w:rPr>
          <w:rFonts w:ascii="Garamond" w:hAnsi="Garamond" w:cs="Arial"/>
        </w:rPr>
        <w:t xml:space="preserve">, </w:t>
      </w:r>
      <w:r w:rsidR="00344E68" w:rsidRPr="00B67582">
        <w:rPr>
          <w:rFonts w:ascii="Garamond" w:hAnsi="Garamond" w:cs="Arial"/>
        </w:rPr>
        <w:t xml:space="preserve">year </w:t>
      </w:r>
      <w:r w:rsidR="00890DD6">
        <w:rPr>
          <w:rFonts w:ascii="Garamond" w:hAnsi="Garamond" w:cs="Arial"/>
        </w:rPr>
        <w:t>in which the durables were</w:t>
      </w:r>
      <w:r w:rsidR="00344E68" w:rsidRPr="00B67582">
        <w:rPr>
          <w:rFonts w:ascii="Garamond" w:hAnsi="Garamond" w:cs="Arial"/>
        </w:rPr>
        <w:t xml:space="preserve"> purchased (</w:t>
      </w:r>
      <w:r w:rsidR="00344E68" w:rsidRPr="00B67582">
        <w:rPr>
          <w:rFonts w:ascii="Garamond" w:hAnsi="Garamond" w:cs="Arial"/>
          <w:b/>
        </w:rPr>
        <w:t>yr_aq</w:t>
      </w:r>
      <w:r w:rsidR="00344E68" w:rsidRPr="00B67582">
        <w:rPr>
          <w:rFonts w:ascii="Garamond" w:hAnsi="Garamond" w:cs="Arial"/>
        </w:rPr>
        <w:t xml:space="preserve">) or </w:t>
      </w:r>
      <w:r w:rsidRPr="00B67582">
        <w:rPr>
          <w:rFonts w:ascii="Garamond" w:hAnsi="Garamond" w:cs="Arial"/>
          <w:i/>
        </w:rPr>
        <w:t>age</w:t>
      </w:r>
      <w:r w:rsidR="00BE34DA" w:rsidRPr="00B67582">
        <w:rPr>
          <w:rFonts w:ascii="Garamond" w:hAnsi="Garamond" w:cs="Arial"/>
        </w:rPr>
        <w:t xml:space="preserve"> in years</w:t>
      </w:r>
      <w:r w:rsidRPr="00B67582">
        <w:rPr>
          <w:rFonts w:ascii="Garamond" w:hAnsi="Garamond" w:cs="Arial"/>
        </w:rPr>
        <w:t xml:space="preserve"> and </w:t>
      </w:r>
      <w:r w:rsidRPr="00B67582">
        <w:rPr>
          <w:rFonts w:ascii="Garamond" w:hAnsi="Garamond" w:cs="Arial"/>
          <w:i/>
        </w:rPr>
        <w:t>value</w:t>
      </w:r>
      <w:r w:rsidRPr="00B67582">
        <w:rPr>
          <w:rFonts w:ascii="Garamond" w:hAnsi="Garamond" w:cs="Arial"/>
        </w:rPr>
        <w:t xml:space="preserve"> </w:t>
      </w:r>
      <w:r w:rsidR="00BE34DA" w:rsidRPr="00B67582">
        <w:rPr>
          <w:rFonts w:ascii="Garamond" w:hAnsi="Garamond" w:cs="Arial"/>
        </w:rPr>
        <w:t xml:space="preserve">of each item </w:t>
      </w:r>
      <w:r w:rsidR="00BE34DA" w:rsidRPr="00B67582">
        <w:rPr>
          <w:rFonts w:ascii="Garamond" w:hAnsi="Garamond" w:cs="Arial"/>
          <w:i/>
        </w:rPr>
        <w:t>when purchased</w:t>
      </w:r>
      <w:r w:rsidR="00460B7E" w:rsidRPr="00B67582">
        <w:rPr>
          <w:rFonts w:ascii="Garamond" w:hAnsi="Garamond" w:cs="Arial"/>
        </w:rPr>
        <w:t xml:space="preserve"> (</w:t>
      </w:r>
      <w:r w:rsidR="00460B7E" w:rsidRPr="00B67582">
        <w:rPr>
          <w:rFonts w:ascii="Garamond" w:hAnsi="Garamond" w:cs="Arial"/>
          <w:b/>
        </w:rPr>
        <w:t>val_aq</w:t>
      </w:r>
      <w:r w:rsidR="00460B7E" w:rsidRPr="00B67582">
        <w:rPr>
          <w:rFonts w:ascii="Garamond" w:hAnsi="Garamond" w:cs="Arial"/>
        </w:rPr>
        <w:t>)</w:t>
      </w:r>
      <w:r w:rsidR="00BE34DA" w:rsidRPr="00B67582">
        <w:rPr>
          <w:rFonts w:ascii="Garamond" w:hAnsi="Garamond" w:cs="Arial"/>
        </w:rPr>
        <w:t xml:space="preserve">. At the same time, information about </w:t>
      </w:r>
      <w:r w:rsidR="00BE34DA" w:rsidRPr="00B67582">
        <w:rPr>
          <w:rFonts w:ascii="Garamond" w:hAnsi="Garamond" w:cs="Arial"/>
          <w:i/>
        </w:rPr>
        <w:t>inflation</w:t>
      </w:r>
      <w:r w:rsidR="00BE34DA" w:rsidRPr="00B67582">
        <w:rPr>
          <w:rFonts w:ascii="Garamond" w:hAnsi="Garamond" w:cs="Arial"/>
        </w:rPr>
        <w:t xml:space="preserve"> rate and </w:t>
      </w:r>
      <w:r w:rsidR="00BE34DA" w:rsidRPr="00B67582">
        <w:rPr>
          <w:rFonts w:ascii="Garamond" w:hAnsi="Garamond" w:cs="Arial"/>
          <w:i/>
        </w:rPr>
        <w:t>nominal interest</w:t>
      </w:r>
      <w:r w:rsidR="00BE34DA" w:rsidRPr="00B67582">
        <w:rPr>
          <w:rFonts w:ascii="Garamond" w:hAnsi="Garamond" w:cs="Arial"/>
        </w:rPr>
        <w:t xml:space="preserve"> rate is provided by other sources: 4% for the first one; and 7% and 9% for savings and deposits</w:t>
      </w:r>
      <w:r w:rsidR="005F4E22">
        <w:rPr>
          <w:rFonts w:ascii="Garamond" w:hAnsi="Garamond" w:cs="Arial"/>
        </w:rPr>
        <w:t>,</w:t>
      </w:r>
      <w:r w:rsidR="00BE34DA" w:rsidRPr="00B67582">
        <w:rPr>
          <w:rFonts w:ascii="Garamond" w:hAnsi="Garamond" w:cs="Arial"/>
        </w:rPr>
        <w:t xml:space="preserve"> respectively. </w:t>
      </w:r>
    </w:p>
    <w:p w:rsidR="00BE34DA" w:rsidRPr="00B67582" w:rsidRDefault="00BE34DA" w:rsidP="004C560E">
      <w:pPr>
        <w:pStyle w:val="ListParagraph"/>
        <w:numPr>
          <w:ilvl w:val="0"/>
          <w:numId w:val="17"/>
        </w:num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>Ca</w:t>
      </w:r>
      <w:r w:rsidR="00DA7230">
        <w:rPr>
          <w:rFonts w:ascii="Garamond" w:hAnsi="Garamond" w:cs="Arial"/>
        </w:rPr>
        <w:t xml:space="preserve">lculate a </w:t>
      </w:r>
      <w:r w:rsidRPr="00B67582">
        <w:rPr>
          <w:rFonts w:ascii="Garamond" w:hAnsi="Garamond" w:cs="Arial"/>
        </w:rPr>
        <w:t>depreciation rate</w:t>
      </w:r>
      <w:r w:rsidR="00137DA7" w:rsidRPr="00B67582">
        <w:rPr>
          <w:rFonts w:ascii="Garamond" w:hAnsi="Garamond" w:cs="Arial"/>
        </w:rPr>
        <w:t xml:space="preserve"> for each durable good</w:t>
      </w:r>
      <w:r w:rsidRPr="00B67582">
        <w:rPr>
          <w:rFonts w:ascii="Garamond" w:hAnsi="Garamond" w:cs="Arial"/>
        </w:rPr>
        <w:t xml:space="preserve"> </w:t>
      </w:r>
      <w:r w:rsidR="00DA7230">
        <w:rPr>
          <w:rFonts w:ascii="Garamond" w:hAnsi="Garamond" w:cs="Arial"/>
        </w:rPr>
        <w:t xml:space="preserve">at the household level </w:t>
      </w:r>
      <w:r w:rsidRPr="00B67582">
        <w:rPr>
          <w:rFonts w:ascii="Garamond" w:hAnsi="Garamond" w:cs="Arial"/>
        </w:rPr>
        <w:t>based on the information provided</w:t>
      </w:r>
      <w:r w:rsidR="00FE2EB9" w:rsidRPr="00B67582">
        <w:rPr>
          <w:rFonts w:ascii="Garamond" w:hAnsi="Garamond" w:cs="Arial"/>
        </w:rPr>
        <w:t>.</w:t>
      </w:r>
      <w:r w:rsidRPr="00B67582">
        <w:rPr>
          <w:rFonts w:ascii="Garamond" w:hAnsi="Garamond" w:cs="Arial"/>
        </w:rPr>
        <w:t xml:space="preserve"> The inflation rate</w:t>
      </w:r>
      <w:r w:rsidR="00137DA7" w:rsidRPr="00B67582">
        <w:rPr>
          <w:rFonts w:ascii="Garamond" w:hAnsi="Garamond" w:cs="Arial"/>
        </w:rPr>
        <w:t>s</w:t>
      </w:r>
      <w:r w:rsidRPr="00B67582">
        <w:rPr>
          <w:rFonts w:ascii="Garamond" w:hAnsi="Garamond" w:cs="Arial"/>
        </w:rPr>
        <w:t xml:space="preserve"> for the last </w:t>
      </w:r>
      <w:r w:rsidR="00137DA7" w:rsidRPr="00B67582">
        <w:rPr>
          <w:rFonts w:ascii="Garamond" w:hAnsi="Garamond" w:cs="Arial"/>
        </w:rPr>
        <w:t xml:space="preserve">past </w:t>
      </w:r>
      <w:r w:rsidRPr="00B67582">
        <w:rPr>
          <w:rFonts w:ascii="Garamond" w:hAnsi="Garamond" w:cs="Arial"/>
        </w:rPr>
        <w:t xml:space="preserve">13 years </w:t>
      </w:r>
      <w:r w:rsidR="00137DA7" w:rsidRPr="00B67582">
        <w:rPr>
          <w:rFonts w:ascii="Garamond" w:hAnsi="Garamond" w:cs="Arial"/>
        </w:rPr>
        <w:t>are</w:t>
      </w:r>
      <w:r w:rsidRPr="00B67582">
        <w:rPr>
          <w:rFonts w:ascii="Garamond" w:hAnsi="Garamond" w:cs="Arial"/>
        </w:rPr>
        <w:t xml:space="preserve"> </w:t>
      </w:r>
      <w:r w:rsidR="00DA7230">
        <w:rPr>
          <w:rFonts w:ascii="Garamond" w:hAnsi="Garamond" w:cs="Arial"/>
        </w:rPr>
        <w:t xml:space="preserve">given in </w:t>
      </w:r>
      <w:r w:rsidRPr="00B67582">
        <w:rPr>
          <w:rFonts w:ascii="Garamond" w:hAnsi="Garamond" w:cs="Arial"/>
        </w:rPr>
        <w:t xml:space="preserve">the </w:t>
      </w:r>
      <w:r w:rsidR="00DA7230">
        <w:rPr>
          <w:rFonts w:ascii="Garamond" w:hAnsi="Garamond" w:cs="Arial"/>
        </w:rPr>
        <w:t>table below.</w:t>
      </w:r>
      <w:r w:rsidR="005F2215">
        <w:rPr>
          <w:rFonts w:ascii="Garamond" w:hAnsi="Garamond" w:cs="Arial"/>
        </w:rPr>
        <w:t xml:space="preserve"> Note that the value of durable goods at the time of purchase (</w:t>
      </w:r>
      <w:r w:rsidR="005F2215" w:rsidRPr="00B67582">
        <w:rPr>
          <w:rFonts w:ascii="Garamond" w:hAnsi="Garamond" w:cs="Arial"/>
          <w:b/>
        </w:rPr>
        <w:t>val_aq</w:t>
      </w:r>
      <w:r w:rsidR="005F2215">
        <w:rPr>
          <w:rFonts w:ascii="Garamond" w:hAnsi="Garamond" w:cs="Arial"/>
        </w:rPr>
        <w:t>) in the dataset is expressed in nominal price and thus need to be inflation-adjusted.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54E0" w:rsidRPr="00B67582" w:rsidRDefault="009954E0" w:rsidP="00137DA7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Year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BE34DA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Inflation rates</w:t>
            </w: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4C560E" w:rsidP="00BE34DA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BE34DA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200</w:t>
            </w:r>
            <w:r w:rsidR="004C560E"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4.40</w:t>
            </w: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BE34DA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200</w:t>
            </w:r>
            <w:r w:rsidR="004C560E"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5.70</w:t>
            </w: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BE34DA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200</w:t>
            </w:r>
            <w:r w:rsidR="004C560E"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3.98</w:t>
            </w: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BE34DA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200</w:t>
            </w:r>
            <w:r w:rsidR="004C560E"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5.19</w:t>
            </w: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BE34DA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200</w:t>
            </w:r>
            <w:r w:rsidR="004C560E"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3.33</w:t>
            </w: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BE34DA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200</w:t>
            </w:r>
            <w:r w:rsidR="004C560E"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4.05</w:t>
            </w: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BE34DA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200</w:t>
            </w:r>
            <w:r w:rsidR="004C560E"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3.76</w:t>
            </w: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BE34DA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200</w:t>
            </w:r>
            <w:r w:rsidR="004C560E"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6.53</w:t>
            </w: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BE34DA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200</w:t>
            </w:r>
            <w:r w:rsidR="004C560E"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3.57</w:t>
            </w: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BE34DA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</w:t>
            </w:r>
            <w:r w:rsidR="004C560E"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4.40</w:t>
            </w: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BE34DA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201</w:t>
            </w:r>
            <w:r w:rsidR="004C560E"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3.82</w:t>
            </w: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BE34DA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201</w:t>
            </w:r>
            <w:r w:rsidR="004C560E"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3.57</w:t>
            </w:r>
          </w:p>
        </w:tc>
      </w:tr>
      <w:tr w:rsidR="009954E0" w:rsidRPr="00B67582" w:rsidTr="00B67582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954E0" w:rsidRPr="00B67582" w:rsidRDefault="009954E0" w:rsidP="004C560E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201</w:t>
            </w:r>
            <w:r w:rsidR="004C560E"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954E0" w:rsidRPr="00B67582" w:rsidRDefault="009954E0" w:rsidP="00493B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</w:pPr>
            <w:r w:rsidRPr="00B67582">
              <w:rPr>
                <w:rFonts w:ascii="Garamond" w:eastAsia="Times New Roman" w:hAnsi="Garamond" w:cs="Arial"/>
                <w:color w:val="000000"/>
                <w:sz w:val="20"/>
                <w:szCs w:val="22"/>
              </w:rPr>
              <w:t>4.02</w:t>
            </w:r>
          </w:p>
        </w:tc>
      </w:tr>
    </w:tbl>
    <w:p w:rsidR="008A3703" w:rsidRPr="00B67582" w:rsidRDefault="008A3703">
      <w:pPr>
        <w:rPr>
          <w:rFonts w:ascii="Garamond" w:hAnsi="Garamond" w:cs="Arial"/>
        </w:rPr>
      </w:pPr>
    </w:p>
    <w:p w:rsidR="00BE34DA" w:rsidRPr="00B67582" w:rsidRDefault="00137DA7" w:rsidP="004C560E">
      <w:pPr>
        <w:pStyle w:val="ListParagraph"/>
        <w:numPr>
          <w:ilvl w:val="0"/>
          <w:numId w:val="17"/>
        </w:num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>Calculate the median depreciation rate by item</w:t>
      </w:r>
      <w:r w:rsidR="008A3703" w:rsidRPr="00B67582">
        <w:rPr>
          <w:rFonts w:ascii="Garamond" w:hAnsi="Garamond" w:cs="Arial"/>
        </w:rPr>
        <w:t xml:space="preserve"> considering the nation as reference</w:t>
      </w:r>
      <w:r w:rsidRPr="00B67582">
        <w:rPr>
          <w:rFonts w:ascii="Garamond" w:hAnsi="Garamond" w:cs="Arial"/>
        </w:rPr>
        <w:t>.</w:t>
      </w:r>
    </w:p>
    <w:p w:rsidR="00F97BAA" w:rsidRPr="00B67582" w:rsidRDefault="00137DA7" w:rsidP="004C560E">
      <w:pPr>
        <w:pStyle w:val="ListParagraph"/>
        <w:numPr>
          <w:ilvl w:val="0"/>
          <w:numId w:val="17"/>
        </w:num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>Estimate the consumption flow by each durable good.</w:t>
      </w:r>
    </w:p>
    <w:p w:rsidR="00137DA7" w:rsidRPr="00B67582" w:rsidRDefault="00137DA7" w:rsidP="004C560E">
      <w:pPr>
        <w:pStyle w:val="ListParagraph"/>
        <w:numPr>
          <w:ilvl w:val="0"/>
          <w:numId w:val="17"/>
        </w:num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>Estimate the total per capita consumption including per capita food, non-food and durables.</w:t>
      </w:r>
    </w:p>
    <w:p w:rsidR="00E1117F" w:rsidRDefault="009E4BF3" w:rsidP="004C560E">
      <w:pPr>
        <w:pStyle w:val="ListParagraph"/>
        <w:numPr>
          <w:ilvl w:val="0"/>
          <w:numId w:val="17"/>
        </w:num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 xml:space="preserve">Calculate the headcount ratio using the national poverty line. </w:t>
      </w:r>
    </w:p>
    <w:p w:rsidR="00122266" w:rsidRDefault="00122266" w:rsidP="004C560E">
      <w:pPr>
        <w:pStyle w:val="ListParagraph"/>
        <w:numPr>
          <w:ilvl w:val="0"/>
          <w:numId w:val="17"/>
        </w:numPr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Calculate the headcount ratio by region</w:t>
      </w:r>
      <w:r w:rsidR="00147138">
        <w:rPr>
          <w:rFonts w:ascii="Garamond" w:hAnsi="Garamond" w:cs="Arial"/>
        </w:rPr>
        <w:t>s</w:t>
      </w:r>
      <w:bookmarkStart w:id="0" w:name="_GoBack"/>
      <w:bookmarkEnd w:id="0"/>
      <w:r>
        <w:rPr>
          <w:rFonts w:ascii="Garamond" w:hAnsi="Garamond" w:cs="Arial"/>
        </w:rPr>
        <w:t xml:space="preserve"> using the national poverty line</w:t>
      </w:r>
    </w:p>
    <w:p w:rsidR="00122266" w:rsidRPr="00B67582" w:rsidRDefault="00122266" w:rsidP="00122266">
      <w:pPr>
        <w:pStyle w:val="ListParagraph"/>
        <w:ind w:left="360"/>
        <w:jc w:val="both"/>
        <w:rPr>
          <w:rFonts w:ascii="Garamond" w:hAnsi="Garamond" w:cs="Arial"/>
        </w:rPr>
      </w:pPr>
    </w:p>
    <w:p w:rsidR="00F46473" w:rsidRPr="00B67582" w:rsidRDefault="00F46473" w:rsidP="00A562E8">
      <w:pPr>
        <w:pStyle w:val="ListParagraph"/>
        <w:ind w:left="360"/>
        <w:jc w:val="both"/>
        <w:rPr>
          <w:rFonts w:ascii="Garamond" w:hAnsi="Garamond" w:cs="Arial"/>
        </w:rPr>
      </w:pPr>
    </w:p>
    <w:p w:rsidR="00122266" w:rsidRDefault="00122266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br w:type="page"/>
      </w:r>
    </w:p>
    <w:p w:rsidR="00E1117F" w:rsidRPr="00B67582" w:rsidRDefault="005A6929" w:rsidP="004C560E">
      <w:p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  <w:b/>
        </w:rPr>
        <w:lastRenderedPageBreak/>
        <w:t xml:space="preserve">APPENDIX </w:t>
      </w:r>
      <w:r w:rsidR="000F24E7" w:rsidRPr="00B67582">
        <w:rPr>
          <w:rFonts w:ascii="Garamond" w:hAnsi="Garamond" w:cs="Arial"/>
          <w:b/>
        </w:rPr>
        <w:t>1 to</w:t>
      </w:r>
      <w:r w:rsidRPr="00B67582">
        <w:rPr>
          <w:rFonts w:ascii="Garamond" w:hAnsi="Garamond" w:cs="Arial"/>
          <w:b/>
        </w:rPr>
        <w:t xml:space="preserve"> EXERCISE 1</w:t>
      </w:r>
      <w:r w:rsidRPr="00B67582">
        <w:rPr>
          <w:rFonts w:ascii="Garamond" w:hAnsi="Garamond" w:cs="Arial"/>
        </w:rPr>
        <w:t xml:space="preserve">: </w:t>
      </w:r>
      <w:r w:rsidR="00E1117F" w:rsidRPr="00B67582">
        <w:rPr>
          <w:rFonts w:ascii="Garamond" w:hAnsi="Garamond" w:cs="Arial"/>
        </w:rPr>
        <w:t>Sensitivity of depreciation rates</w:t>
      </w:r>
    </w:p>
    <w:p w:rsidR="00F32354" w:rsidRPr="00B67582" w:rsidRDefault="00F32354" w:rsidP="00E67DCE">
      <w:p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>T</w:t>
      </w:r>
      <w:r w:rsidR="0083406C" w:rsidRPr="00B67582">
        <w:rPr>
          <w:rFonts w:ascii="Garamond" w:hAnsi="Garamond" w:cs="Arial"/>
        </w:rPr>
        <w:t>wo households (A &amp; B) reside in the different regions (R1 &amp; R2)</w:t>
      </w:r>
      <w:r w:rsidRPr="00B67582">
        <w:rPr>
          <w:rFonts w:ascii="Garamond" w:hAnsi="Garamond" w:cs="Arial"/>
        </w:rPr>
        <w:t xml:space="preserve"> and have the same car</w:t>
      </w:r>
      <w:r w:rsidR="0083406C" w:rsidRPr="00B67582">
        <w:rPr>
          <w:rFonts w:ascii="Garamond" w:hAnsi="Garamond" w:cs="Arial"/>
        </w:rPr>
        <w:t xml:space="preserve">. </w:t>
      </w:r>
      <w:r w:rsidRPr="00B67582">
        <w:rPr>
          <w:rFonts w:ascii="Garamond" w:hAnsi="Garamond" w:cs="Arial"/>
        </w:rPr>
        <w:t>T</w:t>
      </w:r>
      <w:r w:rsidR="0083406C" w:rsidRPr="00B67582">
        <w:rPr>
          <w:rFonts w:ascii="Garamond" w:hAnsi="Garamond" w:cs="Arial"/>
        </w:rPr>
        <w:t xml:space="preserve">he first region </w:t>
      </w:r>
      <w:r w:rsidR="006B645A" w:rsidRPr="00B67582">
        <w:rPr>
          <w:rFonts w:ascii="Garamond" w:hAnsi="Garamond" w:cs="Arial"/>
        </w:rPr>
        <w:t xml:space="preserve">(A) </w:t>
      </w:r>
      <w:r w:rsidR="0083406C" w:rsidRPr="00B67582">
        <w:rPr>
          <w:rFonts w:ascii="Garamond" w:hAnsi="Garamond" w:cs="Arial"/>
        </w:rPr>
        <w:t xml:space="preserve">is </w:t>
      </w:r>
      <w:r w:rsidRPr="00B67582">
        <w:rPr>
          <w:rFonts w:ascii="Garamond" w:hAnsi="Garamond" w:cs="Arial"/>
        </w:rPr>
        <w:t>characterized by</w:t>
      </w:r>
      <w:r w:rsidR="0083406C" w:rsidRPr="00B67582">
        <w:rPr>
          <w:rFonts w:ascii="Garamond" w:hAnsi="Garamond" w:cs="Arial"/>
        </w:rPr>
        <w:t xml:space="preserve"> extreme weather variation and </w:t>
      </w:r>
      <w:r w:rsidRPr="00B67582">
        <w:rPr>
          <w:rFonts w:ascii="Garamond" w:hAnsi="Garamond" w:cs="Arial"/>
        </w:rPr>
        <w:t>difficult terrain with very few paved roads. T</w:t>
      </w:r>
      <w:r w:rsidR="0083406C" w:rsidRPr="00B67582">
        <w:rPr>
          <w:rFonts w:ascii="Garamond" w:hAnsi="Garamond" w:cs="Arial"/>
        </w:rPr>
        <w:t xml:space="preserve">he second </w:t>
      </w:r>
      <w:r w:rsidR="006B645A" w:rsidRPr="00B67582">
        <w:rPr>
          <w:rFonts w:ascii="Garamond" w:hAnsi="Garamond" w:cs="Arial"/>
        </w:rPr>
        <w:t xml:space="preserve">(B) </w:t>
      </w:r>
      <w:r w:rsidRPr="00B67582">
        <w:rPr>
          <w:rFonts w:ascii="Garamond" w:hAnsi="Garamond" w:cs="Arial"/>
        </w:rPr>
        <w:t>has much better weather and almost all roads are paved</w:t>
      </w:r>
      <w:r w:rsidR="0083406C" w:rsidRPr="00B67582">
        <w:rPr>
          <w:rFonts w:ascii="Garamond" w:hAnsi="Garamond" w:cs="Arial"/>
        </w:rPr>
        <w:t xml:space="preserve">. Both goods will be deflated by the same </w:t>
      </w:r>
      <w:r w:rsidRPr="00B67582">
        <w:rPr>
          <w:rFonts w:ascii="Garamond" w:hAnsi="Garamond" w:cs="Arial"/>
        </w:rPr>
        <w:t xml:space="preserve">median </w:t>
      </w:r>
      <w:r w:rsidR="0083406C" w:rsidRPr="00B67582">
        <w:rPr>
          <w:rFonts w:ascii="Garamond" w:hAnsi="Garamond" w:cs="Arial"/>
        </w:rPr>
        <w:t>item depreciation rate</w:t>
      </w:r>
      <w:r w:rsidR="00E67DCE">
        <w:rPr>
          <w:rFonts w:ascii="Garamond" w:hAnsi="Garamond" w:cs="Arial"/>
        </w:rPr>
        <w:t xml:space="preserve"> in the case of using the national rate</w:t>
      </w:r>
      <w:r w:rsidRPr="00B67582">
        <w:rPr>
          <w:rFonts w:ascii="Garamond" w:hAnsi="Garamond" w:cs="Arial"/>
        </w:rPr>
        <w:t>. This will</w:t>
      </w:r>
      <w:r w:rsidR="0083406C" w:rsidRPr="00B67582">
        <w:rPr>
          <w:rFonts w:ascii="Garamond" w:hAnsi="Garamond" w:cs="Arial"/>
        </w:rPr>
        <w:t xml:space="preserve"> </w:t>
      </w:r>
      <w:r w:rsidRPr="00B67582">
        <w:rPr>
          <w:rFonts w:ascii="Garamond" w:hAnsi="Garamond" w:cs="Arial"/>
        </w:rPr>
        <w:t xml:space="preserve">produce </w:t>
      </w:r>
      <w:r w:rsidR="0083406C" w:rsidRPr="00B67582">
        <w:rPr>
          <w:rFonts w:ascii="Garamond" w:hAnsi="Garamond" w:cs="Arial"/>
        </w:rPr>
        <w:t xml:space="preserve">the same utility level for A &amp; B. </w:t>
      </w:r>
      <w:r w:rsidRPr="00B67582">
        <w:rPr>
          <w:rFonts w:ascii="Garamond" w:hAnsi="Garamond" w:cs="Arial"/>
        </w:rPr>
        <w:t xml:space="preserve">To tackle this difficulty, let the </w:t>
      </w:r>
      <w:r w:rsidR="008A3703" w:rsidRPr="00B67582">
        <w:rPr>
          <w:rFonts w:ascii="Garamond" w:hAnsi="Garamond" w:cs="Arial"/>
        </w:rPr>
        <w:t xml:space="preserve">depreciation rate </w:t>
      </w:r>
      <w:r w:rsidRPr="00B67582">
        <w:rPr>
          <w:rFonts w:ascii="Garamond" w:hAnsi="Garamond" w:cs="Arial"/>
        </w:rPr>
        <w:t xml:space="preserve">varies </w:t>
      </w:r>
      <w:r w:rsidR="008A3703" w:rsidRPr="00B67582">
        <w:rPr>
          <w:rFonts w:ascii="Garamond" w:hAnsi="Garamond" w:cs="Arial"/>
        </w:rPr>
        <w:t xml:space="preserve">by item </w:t>
      </w:r>
      <w:r w:rsidR="002673F0" w:rsidRPr="00B67582">
        <w:rPr>
          <w:rFonts w:ascii="Garamond" w:hAnsi="Garamond" w:cs="Arial"/>
        </w:rPr>
        <w:t>and</w:t>
      </w:r>
      <w:r w:rsidR="008A3703" w:rsidRPr="00B67582">
        <w:rPr>
          <w:rFonts w:ascii="Garamond" w:hAnsi="Garamond" w:cs="Arial"/>
        </w:rPr>
        <w:t xml:space="preserve"> province</w:t>
      </w:r>
      <w:r w:rsidRPr="00B67582">
        <w:rPr>
          <w:rFonts w:ascii="Garamond" w:hAnsi="Garamond" w:cs="Arial"/>
        </w:rPr>
        <w:t>.</w:t>
      </w:r>
      <w:r w:rsidR="008A3703" w:rsidRPr="00B67582">
        <w:rPr>
          <w:rFonts w:ascii="Garamond" w:hAnsi="Garamond" w:cs="Arial"/>
        </w:rPr>
        <w:t xml:space="preserve"> </w:t>
      </w:r>
    </w:p>
    <w:p w:rsidR="00A31894" w:rsidRPr="00B67582" w:rsidRDefault="00A31894" w:rsidP="004C560E">
      <w:pPr>
        <w:spacing w:after="0"/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 xml:space="preserve">A1.1.2 </w:t>
      </w:r>
      <w:r w:rsidR="00E64FE0" w:rsidRPr="00B67582">
        <w:rPr>
          <w:rFonts w:ascii="Garamond" w:hAnsi="Garamond" w:cs="Arial"/>
        </w:rPr>
        <w:tab/>
      </w:r>
      <w:r w:rsidR="00CF12EC" w:rsidRPr="00B67582">
        <w:rPr>
          <w:rFonts w:ascii="Garamond" w:hAnsi="Garamond" w:cs="Arial"/>
        </w:rPr>
        <w:t>Calculate the median depreciation rate by item by province.</w:t>
      </w:r>
    </w:p>
    <w:p w:rsidR="00A31894" w:rsidRPr="00B67582" w:rsidRDefault="00A31894" w:rsidP="004C560E">
      <w:pPr>
        <w:spacing w:after="0"/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 xml:space="preserve">A1.1.3 </w:t>
      </w:r>
      <w:r w:rsidR="00E64FE0" w:rsidRPr="00B67582">
        <w:rPr>
          <w:rFonts w:ascii="Garamond" w:hAnsi="Garamond" w:cs="Arial"/>
        </w:rPr>
        <w:tab/>
      </w:r>
      <w:r w:rsidR="00F32354" w:rsidRPr="00B67582">
        <w:rPr>
          <w:rFonts w:ascii="Garamond" w:hAnsi="Garamond" w:cs="Arial"/>
        </w:rPr>
        <w:t>R</w:t>
      </w:r>
      <w:r w:rsidR="006B645A" w:rsidRPr="00B67582">
        <w:rPr>
          <w:rFonts w:ascii="Garamond" w:hAnsi="Garamond" w:cs="Arial"/>
        </w:rPr>
        <w:t xml:space="preserve">epeat </w:t>
      </w:r>
      <w:r w:rsidRPr="00B67582">
        <w:rPr>
          <w:rFonts w:ascii="Garamond" w:hAnsi="Garamond" w:cs="Arial"/>
        </w:rPr>
        <w:t>point 1.3</w:t>
      </w:r>
    </w:p>
    <w:p w:rsidR="00A31894" w:rsidRPr="00B67582" w:rsidRDefault="00A31894" w:rsidP="00A31894">
      <w:pPr>
        <w:spacing w:after="0"/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 xml:space="preserve">A1.1.4 </w:t>
      </w:r>
      <w:r w:rsidR="00E64FE0" w:rsidRPr="00B67582">
        <w:rPr>
          <w:rFonts w:ascii="Garamond" w:hAnsi="Garamond" w:cs="Arial"/>
        </w:rPr>
        <w:tab/>
      </w:r>
      <w:r w:rsidRPr="00B67582">
        <w:rPr>
          <w:rFonts w:ascii="Garamond" w:hAnsi="Garamond" w:cs="Arial"/>
        </w:rPr>
        <w:t>Repeat point 1.4</w:t>
      </w:r>
    </w:p>
    <w:p w:rsidR="00A31894" w:rsidRPr="00B67582" w:rsidRDefault="00A31894" w:rsidP="00A31894">
      <w:pPr>
        <w:spacing w:after="0"/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 xml:space="preserve">A1.1.5 </w:t>
      </w:r>
      <w:r w:rsidR="00E64FE0" w:rsidRPr="00B67582">
        <w:rPr>
          <w:rFonts w:ascii="Garamond" w:hAnsi="Garamond" w:cs="Arial"/>
        </w:rPr>
        <w:tab/>
      </w:r>
      <w:r w:rsidRPr="00B67582">
        <w:rPr>
          <w:rFonts w:ascii="Garamond" w:hAnsi="Garamond" w:cs="Arial"/>
        </w:rPr>
        <w:t>Repeat point 1.5</w:t>
      </w:r>
      <w:r w:rsidR="00E67DCE">
        <w:rPr>
          <w:rFonts w:ascii="Garamond" w:hAnsi="Garamond" w:cs="Arial"/>
        </w:rPr>
        <w:t xml:space="preserve">. </w:t>
      </w:r>
      <w:r w:rsidR="00E67DCE" w:rsidRPr="00B67582">
        <w:rPr>
          <w:rFonts w:ascii="Garamond" w:hAnsi="Garamond" w:cs="Arial"/>
        </w:rPr>
        <w:t>Compare these results with previous exercises.</w:t>
      </w:r>
    </w:p>
    <w:p w:rsidR="00A31894" w:rsidRPr="00B67582" w:rsidRDefault="00A31894" w:rsidP="004C560E">
      <w:pPr>
        <w:spacing w:after="0"/>
        <w:jc w:val="both"/>
        <w:rPr>
          <w:rFonts w:ascii="Garamond" w:hAnsi="Garamond" w:cs="Arial"/>
        </w:rPr>
      </w:pPr>
    </w:p>
    <w:p w:rsidR="00A31894" w:rsidRPr="00B67582" w:rsidRDefault="00A31894" w:rsidP="004C560E">
      <w:pPr>
        <w:spacing w:after="0"/>
        <w:jc w:val="both"/>
        <w:rPr>
          <w:rFonts w:ascii="Garamond" w:hAnsi="Garamond" w:cs="Arial"/>
        </w:rPr>
      </w:pPr>
    </w:p>
    <w:p w:rsidR="000F24E7" w:rsidRPr="00B67582" w:rsidRDefault="000F24E7" w:rsidP="004C560E">
      <w:p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  <w:b/>
        </w:rPr>
        <w:t>APPENDIX 2 to EXERCISE 1:</w:t>
      </w:r>
      <w:r w:rsidRPr="00B67582">
        <w:rPr>
          <w:rFonts w:ascii="Garamond" w:hAnsi="Garamond" w:cs="Arial"/>
        </w:rPr>
        <w:t xml:space="preserve"> Sensitivity of depreciation rates</w:t>
      </w:r>
    </w:p>
    <w:p w:rsidR="008A3703" w:rsidRPr="00B67582" w:rsidRDefault="006B645A" w:rsidP="004C560E">
      <w:p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>Now, a</w:t>
      </w:r>
      <w:r w:rsidR="002673F0" w:rsidRPr="00B67582">
        <w:rPr>
          <w:rFonts w:ascii="Garamond" w:hAnsi="Garamond" w:cs="Arial"/>
        </w:rPr>
        <w:t xml:space="preserve">ssume that two households </w:t>
      </w:r>
      <w:r w:rsidR="0083406C" w:rsidRPr="00B67582">
        <w:rPr>
          <w:rFonts w:ascii="Garamond" w:hAnsi="Garamond" w:cs="Arial"/>
        </w:rPr>
        <w:t xml:space="preserve">(A &amp; B) </w:t>
      </w:r>
      <w:r w:rsidR="002673F0" w:rsidRPr="00B67582">
        <w:rPr>
          <w:rFonts w:ascii="Garamond" w:hAnsi="Garamond" w:cs="Arial"/>
        </w:rPr>
        <w:t>which reside in the same region</w:t>
      </w:r>
      <w:r w:rsidR="0083406C" w:rsidRPr="00B67582">
        <w:rPr>
          <w:rFonts w:ascii="Garamond" w:hAnsi="Garamond" w:cs="Arial"/>
        </w:rPr>
        <w:t xml:space="preserve"> (R)</w:t>
      </w:r>
      <w:r w:rsidR="002673F0" w:rsidRPr="00B67582">
        <w:rPr>
          <w:rFonts w:ascii="Garamond" w:hAnsi="Garamond" w:cs="Arial"/>
        </w:rPr>
        <w:t xml:space="preserve"> have the same good</w:t>
      </w:r>
      <w:r w:rsidRPr="00B67582">
        <w:rPr>
          <w:rFonts w:ascii="Garamond" w:hAnsi="Garamond" w:cs="Arial"/>
        </w:rPr>
        <w:t xml:space="preserve"> (na = nb</w:t>
      </w:r>
      <w:r w:rsidR="0083406C" w:rsidRPr="00B67582">
        <w:rPr>
          <w:rFonts w:ascii="Garamond" w:hAnsi="Garamond" w:cs="Arial"/>
        </w:rPr>
        <w:t>)</w:t>
      </w:r>
      <w:r w:rsidR="002673F0" w:rsidRPr="00B67582">
        <w:rPr>
          <w:rFonts w:ascii="Garamond" w:hAnsi="Garamond" w:cs="Arial"/>
        </w:rPr>
        <w:t xml:space="preserve"> but </w:t>
      </w:r>
      <w:r w:rsidR="0083406C" w:rsidRPr="00B67582">
        <w:rPr>
          <w:rFonts w:ascii="Garamond" w:hAnsi="Garamond" w:cs="Arial"/>
        </w:rPr>
        <w:t xml:space="preserve">differ in the </w:t>
      </w:r>
      <w:r w:rsidR="002673F0" w:rsidRPr="00B67582">
        <w:rPr>
          <w:rFonts w:ascii="Garamond" w:hAnsi="Garamond" w:cs="Arial"/>
        </w:rPr>
        <w:t>year acquisition</w:t>
      </w:r>
      <w:r w:rsidRPr="00B67582">
        <w:rPr>
          <w:rFonts w:ascii="Garamond" w:hAnsi="Garamond" w:cs="Arial"/>
        </w:rPr>
        <w:t>: na is older than nb</w:t>
      </w:r>
      <w:r w:rsidR="0083406C" w:rsidRPr="00B67582">
        <w:rPr>
          <w:rFonts w:ascii="Garamond" w:hAnsi="Garamond" w:cs="Arial"/>
        </w:rPr>
        <w:t>.</w:t>
      </w:r>
      <w:r w:rsidR="002673F0" w:rsidRPr="00B67582">
        <w:rPr>
          <w:rFonts w:ascii="Garamond" w:hAnsi="Garamond" w:cs="Arial"/>
        </w:rPr>
        <w:t xml:space="preserve"> </w:t>
      </w:r>
      <w:r w:rsidR="0083406C" w:rsidRPr="00B67582">
        <w:rPr>
          <w:rFonts w:ascii="Garamond" w:hAnsi="Garamond" w:cs="Arial"/>
        </w:rPr>
        <w:t xml:space="preserve">Both goods </w:t>
      </w:r>
      <w:r w:rsidR="002673F0" w:rsidRPr="00B67582">
        <w:rPr>
          <w:rFonts w:ascii="Garamond" w:hAnsi="Garamond" w:cs="Arial"/>
        </w:rPr>
        <w:t>will be deflated by the same geographical depreciation rate</w:t>
      </w:r>
      <w:r w:rsidR="0083406C" w:rsidRPr="00B67582">
        <w:rPr>
          <w:rFonts w:ascii="Garamond" w:hAnsi="Garamond" w:cs="Arial"/>
        </w:rPr>
        <w:t xml:space="preserve"> producing the same utility levels for A &amp; B. In order to avoid this problem</w:t>
      </w:r>
      <w:r w:rsidRPr="00B67582">
        <w:rPr>
          <w:rFonts w:ascii="Garamond" w:hAnsi="Garamond" w:cs="Arial"/>
        </w:rPr>
        <w:t>, estimate a depreciation rate by item, province and vintage</w:t>
      </w:r>
      <w:r w:rsidR="0083406C" w:rsidRPr="00B67582">
        <w:rPr>
          <w:rFonts w:ascii="Garamond" w:hAnsi="Garamond" w:cs="Arial"/>
        </w:rPr>
        <w:t>.</w:t>
      </w:r>
      <w:r w:rsidR="008A3703" w:rsidRPr="00B67582">
        <w:rPr>
          <w:rFonts w:ascii="Garamond" w:hAnsi="Garamond" w:cs="Arial"/>
        </w:rPr>
        <w:t xml:space="preserve"> </w:t>
      </w:r>
      <w:r w:rsidRPr="00B67582">
        <w:rPr>
          <w:rFonts w:ascii="Garamond" w:hAnsi="Garamond" w:cs="Arial"/>
        </w:rPr>
        <w:t>T</w:t>
      </w:r>
      <w:r w:rsidR="0083406C" w:rsidRPr="00B67582">
        <w:rPr>
          <w:rFonts w:ascii="Garamond" w:hAnsi="Garamond" w:cs="Arial"/>
        </w:rPr>
        <w:t xml:space="preserve">he </w:t>
      </w:r>
      <w:r w:rsidR="008A3703" w:rsidRPr="00B67582">
        <w:rPr>
          <w:rFonts w:ascii="Garamond" w:hAnsi="Garamond" w:cs="Arial"/>
        </w:rPr>
        <w:t xml:space="preserve">following intervals of years define </w:t>
      </w:r>
      <w:r w:rsidRPr="00B67582">
        <w:rPr>
          <w:rFonts w:ascii="Garamond" w:hAnsi="Garamond" w:cs="Arial"/>
        </w:rPr>
        <w:t>the vintage variable</w:t>
      </w:r>
      <w:r w:rsidR="008A3703" w:rsidRPr="00B67582">
        <w:rPr>
          <w:rFonts w:ascii="Garamond" w:hAnsi="Garamond" w:cs="Arial"/>
        </w:rPr>
        <w:t>: almost a year old, between 2 and 3 years old and more or equal to 4 years old.</w:t>
      </w:r>
    </w:p>
    <w:p w:rsidR="00FC75FA" w:rsidRPr="00B67582" w:rsidRDefault="00FC5718" w:rsidP="004C560E">
      <w:pPr>
        <w:spacing w:after="0"/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 xml:space="preserve">A2.1.2 </w:t>
      </w:r>
      <w:r w:rsidR="00E64FE0" w:rsidRPr="00B67582">
        <w:rPr>
          <w:rFonts w:ascii="Garamond" w:hAnsi="Garamond" w:cs="Arial"/>
        </w:rPr>
        <w:tab/>
      </w:r>
      <w:r w:rsidR="00FC75FA" w:rsidRPr="00B67582">
        <w:rPr>
          <w:rFonts w:ascii="Garamond" w:hAnsi="Garamond" w:cs="Arial"/>
        </w:rPr>
        <w:t>Calculate the median depreciation rate by item, by province and by vintage.</w:t>
      </w:r>
    </w:p>
    <w:p w:rsidR="00A31894" w:rsidRPr="00B67582" w:rsidRDefault="00A31894" w:rsidP="004C560E">
      <w:pPr>
        <w:spacing w:after="0"/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>A</w:t>
      </w:r>
      <w:r w:rsidR="00FC5718" w:rsidRPr="00B67582">
        <w:rPr>
          <w:rFonts w:ascii="Garamond" w:hAnsi="Garamond" w:cs="Arial"/>
        </w:rPr>
        <w:t>2</w:t>
      </w:r>
      <w:r w:rsidRPr="00B67582">
        <w:rPr>
          <w:rFonts w:ascii="Garamond" w:hAnsi="Garamond" w:cs="Arial"/>
        </w:rPr>
        <w:t xml:space="preserve">.1.3 </w:t>
      </w:r>
      <w:r w:rsidR="00E64FE0" w:rsidRPr="00B67582">
        <w:rPr>
          <w:rFonts w:ascii="Garamond" w:hAnsi="Garamond" w:cs="Arial"/>
        </w:rPr>
        <w:tab/>
      </w:r>
      <w:r w:rsidRPr="00B67582">
        <w:rPr>
          <w:rFonts w:ascii="Garamond" w:hAnsi="Garamond" w:cs="Arial"/>
        </w:rPr>
        <w:t>Repeat point 1.3</w:t>
      </w:r>
    </w:p>
    <w:p w:rsidR="00A31894" w:rsidRPr="00B67582" w:rsidRDefault="00A31894" w:rsidP="004C560E">
      <w:pPr>
        <w:spacing w:after="0"/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>A</w:t>
      </w:r>
      <w:r w:rsidR="00FC5718" w:rsidRPr="00B67582">
        <w:rPr>
          <w:rFonts w:ascii="Garamond" w:hAnsi="Garamond" w:cs="Arial"/>
        </w:rPr>
        <w:t>2</w:t>
      </w:r>
      <w:r w:rsidRPr="00B67582">
        <w:rPr>
          <w:rFonts w:ascii="Garamond" w:hAnsi="Garamond" w:cs="Arial"/>
        </w:rPr>
        <w:t xml:space="preserve">.1.4 </w:t>
      </w:r>
      <w:r w:rsidR="00E64FE0" w:rsidRPr="00B67582">
        <w:rPr>
          <w:rFonts w:ascii="Garamond" w:hAnsi="Garamond" w:cs="Arial"/>
        </w:rPr>
        <w:tab/>
      </w:r>
      <w:r w:rsidRPr="00B67582">
        <w:rPr>
          <w:rFonts w:ascii="Garamond" w:hAnsi="Garamond" w:cs="Arial"/>
        </w:rPr>
        <w:t>Repeat point 1.4</w:t>
      </w:r>
    </w:p>
    <w:p w:rsidR="00A31894" w:rsidRPr="00B67582" w:rsidRDefault="00A31894" w:rsidP="004C560E">
      <w:pPr>
        <w:spacing w:after="0"/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>A</w:t>
      </w:r>
      <w:r w:rsidR="00FC5718" w:rsidRPr="00B67582">
        <w:rPr>
          <w:rFonts w:ascii="Garamond" w:hAnsi="Garamond" w:cs="Arial"/>
        </w:rPr>
        <w:t>2</w:t>
      </w:r>
      <w:r w:rsidRPr="00B67582">
        <w:rPr>
          <w:rFonts w:ascii="Garamond" w:hAnsi="Garamond" w:cs="Arial"/>
        </w:rPr>
        <w:t xml:space="preserve">.1.5 </w:t>
      </w:r>
      <w:r w:rsidR="00E64FE0" w:rsidRPr="00B67582">
        <w:rPr>
          <w:rFonts w:ascii="Garamond" w:hAnsi="Garamond" w:cs="Arial"/>
        </w:rPr>
        <w:tab/>
      </w:r>
      <w:r w:rsidRPr="00B67582">
        <w:rPr>
          <w:rFonts w:ascii="Garamond" w:hAnsi="Garamond" w:cs="Arial"/>
        </w:rPr>
        <w:t>Repeat point 1.5</w:t>
      </w:r>
      <w:r w:rsidR="00E67DCE">
        <w:rPr>
          <w:rFonts w:ascii="Garamond" w:hAnsi="Garamond" w:cs="Arial"/>
        </w:rPr>
        <w:t xml:space="preserve">. </w:t>
      </w:r>
      <w:r w:rsidR="00E67DCE" w:rsidRPr="00B67582">
        <w:rPr>
          <w:rFonts w:ascii="Garamond" w:hAnsi="Garamond" w:cs="Arial"/>
        </w:rPr>
        <w:t>Compare these results with previous exercises</w:t>
      </w:r>
      <w:r w:rsidR="00E67DCE">
        <w:rPr>
          <w:rFonts w:ascii="Garamond" w:hAnsi="Garamond" w:cs="Arial"/>
        </w:rPr>
        <w:t>.</w:t>
      </w:r>
    </w:p>
    <w:p w:rsidR="006B645A" w:rsidRPr="00B67582" w:rsidRDefault="006B645A" w:rsidP="004C560E">
      <w:pPr>
        <w:pStyle w:val="ListParagraph"/>
        <w:spacing w:after="0"/>
        <w:jc w:val="both"/>
        <w:rPr>
          <w:rFonts w:ascii="Garamond" w:hAnsi="Garamond" w:cs="Arial"/>
        </w:rPr>
      </w:pPr>
    </w:p>
    <w:p w:rsidR="00CD504B" w:rsidRPr="00B67582" w:rsidRDefault="00CD504B" w:rsidP="00CD504B">
      <w:p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  <w:b/>
        </w:rPr>
        <w:t xml:space="preserve">EXERCISE </w:t>
      </w:r>
      <w:r w:rsidR="005A6929" w:rsidRPr="00B67582">
        <w:rPr>
          <w:rFonts w:ascii="Garamond" w:hAnsi="Garamond" w:cs="Arial"/>
          <w:b/>
        </w:rPr>
        <w:t>2</w:t>
      </w:r>
      <w:r w:rsidRPr="00B67582">
        <w:rPr>
          <w:rFonts w:ascii="Garamond" w:hAnsi="Garamond" w:cs="Arial"/>
        </w:rPr>
        <w:t>: Rough estimate of the flow of services from durables</w:t>
      </w:r>
    </w:p>
    <w:p w:rsidR="006B645A" w:rsidRPr="00B67582" w:rsidRDefault="006B645A" w:rsidP="004C560E">
      <w:p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 xml:space="preserve">Assume that the only information available in the dataset is the </w:t>
      </w:r>
      <w:r w:rsidRPr="00B67582">
        <w:rPr>
          <w:rFonts w:ascii="Garamond" w:hAnsi="Garamond" w:cs="Arial"/>
          <w:i/>
        </w:rPr>
        <w:t xml:space="preserve">current value </w:t>
      </w:r>
      <w:r w:rsidRPr="00B67582">
        <w:rPr>
          <w:rFonts w:ascii="Garamond" w:hAnsi="Garamond" w:cs="Arial"/>
        </w:rPr>
        <w:t xml:space="preserve">and </w:t>
      </w:r>
      <w:r w:rsidRPr="00B67582">
        <w:rPr>
          <w:rFonts w:ascii="Garamond" w:hAnsi="Garamond" w:cs="Arial"/>
          <w:i/>
        </w:rPr>
        <w:t>age</w:t>
      </w:r>
      <w:r w:rsidRPr="00B67582">
        <w:rPr>
          <w:rFonts w:ascii="Garamond" w:hAnsi="Garamond" w:cs="Arial"/>
        </w:rPr>
        <w:t xml:space="preserve"> for each durable good. In order to estimate the flow of the service that each good provides to each household, apply the following simple approach: </w:t>
      </w:r>
    </w:p>
    <w:p w:rsidR="006B645A" w:rsidRPr="00B67582" w:rsidRDefault="006B645A" w:rsidP="004C560E">
      <w:pPr>
        <w:pStyle w:val="ListParagraph"/>
        <w:numPr>
          <w:ilvl w:val="0"/>
          <w:numId w:val="22"/>
        </w:num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 xml:space="preserve">Calculate the remaining life of each good as: 2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T</m:t>
            </m:r>
          </m:e>
        </m:acc>
      </m:oMath>
      <w:r w:rsidRPr="00B67582">
        <w:rPr>
          <w:rFonts w:ascii="Garamond" w:hAnsi="Garamond" w:cs="Arial"/>
        </w:rPr>
        <w:t xml:space="preserve"> – </w:t>
      </w:r>
      <w:r w:rsidRPr="00B67582">
        <w:rPr>
          <w:rFonts w:ascii="Garamond" w:hAnsi="Garamond" w:cs="Arial"/>
          <w:i/>
        </w:rPr>
        <w:t>T</w:t>
      </w:r>
      <w:r w:rsidRPr="00B67582">
        <w:rPr>
          <w:rFonts w:ascii="Garamond" w:hAnsi="Garamond" w:cs="Arial"/>
        </w:rPr>
        <w:t xml:space="preserve"> where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T</m:t>
            </m:r>
          </m:e>
        </m:acc>
      </m:oMath>
      <w:r w:rsidRPr="00B67582">
        <w:rPr>
          <w:rFonts w:ascii="Garamond" w:eastAsiaTheme="minorEastAsia" w:hAnsi="Garamond" w:cs="Arial"/>
        </w:rPr>
        <w:t xml:space="preserve">equals the average age for each durable good and </w:t>
      </w:r>
      <w:r w:rsidRPr="00B67582">
        <w:rPr>
          <w:rFonts w:ascii="Garamond" w:eastAsiaTheme="minorEastAsia" w:hAnsi="Garamond" w:cs="Arial"/>
          <w:i/>
        </w:rPr>
        <w:t>T</w:t>
      </w:r>
      <w:r w:rsidRPr="00B67582">
        <w:rPr>
          <w:rFonts w:ascii="Garamond" w:eastAsiaTheme="minorEastAsia" w:hAnsi="Garamond" w:cs="Arial"/>
        </w:rPr>
        <w:t xml:space="preserve"> is the age of the good;</w:t>
      </w:r>
    </w:p>
    <w:p w:rsidR="006B645A" w:rsidRPr="00B67582" w:rsidRDefault="006B645A" w:rsidP="004C560E">
      <w:pPr>
        <w:pStyle w:val="ListParagraph"/>
        <w:numPr>
          <w:ilvl w:val="0"/>
          <w:numId w:val="22"/>
        </w:num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>Are these reasonable values? If not, use an arbitrary decision and censor the variable to 2 years when the estimate is less.</w:t>
      </w:r>
    </w:p>
    <w:p w:rsidR="006B645A" w:rsidRPr="00B67582" w:rsidRDefault="006B645A" w:rsidP="004C560E">
      <w:pPr>
        <w:pStyle w:val="ListParagraph"/>
        <w:numPr>
          <w:ilvl w:val="0"/>
          <w:numId w:val="22"/>
        </w:num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 xml:space="preserve">Calculate the flow of services by dividing the current value by its expected remaining life. </w:t>
      </w:r>
    </w:p>
    <w:p w:rsidR="006B645A" w:rsidRPr="00B67582" w:rsidRDefault="006B645A" w:rsidP="004C560E">
      <w:pPr>
        <w:pStyle w:val="ListParagraph"/>
        <w:numPr>
          <w:ilvl w:val="0"/>
          <w:numId w:val="22"/>
        </w:num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>Estimate the total per capita consumption including per capita food, non-food and durables.</w:t>
      </w:r>
    </w:p>
    <w:p w:rsidR="006B645A" w:rsidRPr="00B67582" w:rsidRDefault="006B645A" w:rsidP="004C560E">
      <w:pPr>
        <w:pStyle w:val="ListParagraph"/>
        <w:numPr>
          <w:ilvl w:val="0"/>
          <w:numId w:val="22"/>
        </w:num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 xml:space="preserve">Create the budget share of </w:t>
      </w:r>
      <w:r w:rsidR="00BA1130" w:rsidRPr="00B67582">
        <w:rPr>
          <w:rFonts w:ascii="Garamond" w:hAnsi="Garamond" w:cs="Arial"/>
        </w:rPr>
        <w:t xml:space="preserve">each component of the consumption aggregate </w:t>
      </w:r>
      <w:r w:rsidRPr="00B67582">
        <w:rPr>
          <w:rFonts w:ascii="Garamond" w:hAnsi="Garamond" w:cs="Arial"/>
        </w:rPr>
        <w:t>and calculate the mean for each deciles of total per capita consumption.</w:t>
      </w:r>
    </w:p>
    <w:p w:rsidR="006B645A" w:rsidRPr="00B67582" w:rsidRDefault="006B645A" w:rsidP="004C560E">
      <w:pPr>
        <w:pStyle w:val="ListParagraph"/>
        <w:numPr>
          <w:ilvl w:val="0"/>
          <w:numId w:val="22"/>
        </w:num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 xml:space="preserve">Calculate the headcount ratio using the national poverty line. </w:t>
      </w:r>
    </w:p>
    <w:p w:rsidR="00240444" w:rsidRPr="00B67582" w:rsidRDefault="009E4BF3" w:rsidP="00677252">
      <w:pPr>
        <w:jc w:val="both"/>
        <w:rPr>
          <w:rFonts w:ascii="Garamond" w:hAnsi="Garamond" w:cs="Arial"/>
        </w:rPr>
      </w:pPr>
      <w:r w:rsidRPr="00B67582">
        <w:rPr>
          <w:rFonts w:ascii="Garamond" w:hAnsi="Garamond" w:cs="Arial"/>
        </w:rPr>
        <w:t xml:space="preserve"> </w:t>
      </w:r>
    </w:p>
    <w:sectPr w:rsidR="00240444" w:rsidRPr="00B67582" w:rsidSect="00A562E8">
      <w:headerReference w:type="default" r:id="rId9"/>
      <w:footerReference w:type="default" r:id="rId10"/>
      <w:pgSz w:w="12240" w:h="15840"/>
      <w:pgMar w:top="1440" w:right="1440" w:bottom="1440" w:left="1440" w:header="432" w:footer="5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107" w:rsidRDefault="00D82107" w:rsidP="00AF79CB">
      <w:pPr>
        <w:spacing w:after="0" w:line="240" w:lineRule="auto"/>
      </w:pPr>
      <w:r>
        <w:separator/>
      </w:r>
    </w:p>
  </w:endnote>
  <w:endnote w:type="continuationSeparator" w:id="0">
    <w:p w:rsidR="00D82107" w:rsidRDefault="00D82107" w:rsidP="00AF7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2C5A71" w:rsidTr="00677252">
      <w:tc>
        <w:tcPr>
          <w:tcW w:w="4500" w:type="pct"/>
          <w:vAlign w:val="center"/>
        </w:tcPr>
        <w:p w:rsidR="002C5A71" w:rsidRDefault="002C5A71" w:rsidP="00677252">
          <w:pPr>
            <w:pStyle w:val="Footer"/>
          </w:pPr>
        </w:p>
      </w:tc>
      <w:tc>
        <w:tcPr>
          <w:tcW w:w="500" w:type="pct"/>
          <w:shd w:val="clear" w:color="auto" w:fill="FFFFFF" w:themeFill="background1"/>
          <w:vAlign w:val="center"/>
        </w:tcPr>
        <w:p w:rsidR="002C5A71" w:rsidRPr="00674BD3" w:rsidRDefault="00983EB3" w:rsidP="002C5A71">
          <w:pPr>
            <w:pStyle w:val="Header"/>
            <w:rPr>
              <w:rFonts w:ascii="Garamond" w:hAnsi="Garamond"/>
            </w:rPr>
          </w:pPr>
          <w:r w:rsidRPr="00674BD3">
            <w:rPr>
              <w:rFonts w:ascii="Garamond" w:hAnsi="Garamond"/>
            </w:rPr>
            <w:fldChar w:fldCharType="begin"/>
          </w:r>
          <w:r w:rsidR="009C3AD5" w:rsidRPr="00674BD3">
            <w:rPr>
              <w:rFonts w:ascii="Garamond" w:hAnsi="Garamond"/>
            </w:rPr>
            <w:instrText xml:space="preserve"> PAGE   \* MERGEFORMAT </w:instrText>
          </w:r>
          <w:r w:rsidRPr="00674BD3">
            <w:rPr>
              <w:rFonts w:ascii="Garamond" w:hAnsi="Garamond"/>
            </w:rPr>
            <w:fldChar w:fldCharType="separate"/>
          </w:r>
          <w:r w:rsidR="00147138">
            <w:rPr>
              <w:rFonts w:ascii="Garamond" w:hAnsi="Garamond"/>
              <w:noProof/>
            </w:rPr>
            <w:t>1</w:t>
          </w:r>
          <w:r w:rsidRPr="00674BD3">
            <w:rPr>
              <w:rFonts w:ascii="Garamond" w:hAnsi="Garamond"/>
            </w:rPr>
            <w:fldChar w:fldCharType="end"/>
          </w:r>
        </w:p>
      </w:tc>
    </w:tr>
  </w:tbl>
  <w:p w:rsidR="004323F2" w:rsidRDefault="004323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107" w:rsidRDefault="00D82107" w:rsidP="00AF79CB">
      <w:pPr>
        <w:spacing w:after="0" w:line="240" w:lineRule="auto"/>
      </w:pPr>
      <w:r>
        <w:separator/>
      </w:r>
    </w:p>
  </w:footnote>
  <w:footnote w:type="continuationSeparator" w:id="0">
    <w:p w:rsidR="00D82107" w:rsidRDefault="00D82107" w:rsidP="00AF7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252" w:rsidRDefault="008A11D1" w:rsidP="00677252">
    <w:pPr>
      <w:pStyle w:val="Header"/>
      <w:jc w:val="right"/>
    </w:pPr>
    <w:r>
      <w:rPr>
        <w:noProof/>
        <w:lang w:eastAsia="ja-JP"/>
      </w:rPr>
      <w:drawing>
        <wp:inline distT="0" distB="0" distL="0" distR="0" wp14:anchorId="775F539F" wp14:editId="1F17E4CA">
          <wp:extent cx="1856846" cy="365760"/>
          <wp:effectExtent l="0" t="0" r="0" b="0"/>
          <wp:docPr id="5" name="Picture 5" descr="C:\Users\wb436991\WinRAR-HOLD\Rar$DI05.472\WBG_Horizontal-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b436991\WinRAR-HOLD\Rar$DI05.472\WBG_Horizontal-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6846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62E8" w:rsidRPr="00A562E8" w:rsidRDefault="00A562E8" w:rsidP="00A562E8">
    <w:pPr>
      <w:pStyle w:val="Header"/>
      <w:pBdr>
        <w:bottom w:val="single" w:sz="4" w:space="1" w:color="auto"/>
      </w:pBdr>
      <w:jc w:val="right"/>
      <w:rPr>
        <w:color w:val="00ADE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0C74"/>
    <w:multiLevelType w:val="hybridMultilevel"/>
    <w:tmpl w:val="D7046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5A0ED2"/>
    <w:multiLevelType w:val="multilevel"/>
    <w:tmpl w:val="A59CBF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59845E7"/>
    <w:multiLevelType w:val="hybridMultilevel"/>
    <w:tmpl w:val="D8B08FF6"/>
    <w:lvl w:ilvl="0" w:tplc="2E108CD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D27E89"/>
    <w:multiLevelType w:val="hybridMultilevel"/>
    <w:tmpl w:val="D7046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6055B2"/>
    <w:multiLevelType w:val="multilevel"/>
    <w:tmpl w:val="AF7CCDE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3EE50FB"/>
    <w:multiLevelType w:val="hybridMultilevel"/>
    <w:tmpl w:val="EDF6BB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E11771"/>
    <w:multiLevelType w:val="hybridMultilevel"/>
    <w:tmpl w:val="EA54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55395"/>
    <w:multiLevelType w:val="hybridMultilevel"/>
    <w:tmpl w:val="5F6289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4C66F7"/>
    <w:multiLevelType w:val="hybridMultilevel"/>
    <w:tmpl w:val="D7046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3C5BF2"/>
    <w:multiLevelType w:val="hybridMultilevel"/>
    <w:tmpl w:val="C0A89948"/>
    <w:lvl w:ilvl="0" w:tplc="2E108CD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4D507F"/>
    <w:multiLevelType w:val="hybridMultilevel"/>
    <w:tmpl w:val="D7046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D409FD"/>
    <w:multiLevelType w:val="hybridMultilevel"/>
    <w:tmpl w:val="C6B0E4A4"/>
    <w:lvl w:ilvl="0" w:tplc="1E1C9EB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2AA4877"/>
    <w:multiLevelType w:val="hybridMultilevel"/>
    <w:tmpl w:val="D7046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6C28DB"/>
    <w:multiLevelType w:val="hybridMultilevel"/>
    <w:tmpl w:val="D7046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817052"/>
    <w:multiLevelType w:val="hybridMultilevel"/>
    <w:tmpl w:val="A15A7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3123F5"/>
    <w:multiLevelType w:val="hybridMultilevel"/>
    <w:tmpl w:val="D7046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1247866"/>
    <w:multiLevelType w:val="multilevel"/>
    <w:tmpl w:val="69BCE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221587A"/>
    <w:multiLevelType w:val="multilevel"/>
    <w:tmpl w:val="AEEAD1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64FF6002"/>
    <w:multiLevelType w:val="hybridMultilevel"/>
    <w:tmpl w:val="D7046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01B7CF7"/>
    <w:multiLevelType w:val="multilevel"/>
    <w:tmpl w:val="B8D8B32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70A1120E"/>
    <w:multiLevelType w:val="hybridMultilevel"/>
    <w:tmpl w:val="CB96DA36"/>
    <w:lvl w:ilvl="0" w:tplc="11F8C7E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32E63"/>
    <w:multiLevelType w:val="multilevel"/>
    <w:tmpl w:val="A6B4C2C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3"/>
  </w:num>
  <w:num w:numId="5">
    <w:abstractNumId w:val="5"/>
  </w:num>
  <w:num w:numId="6">
    <w:abstractNumId w:val="12"/>
  </w:num>
  <w:num w:numId="7">
    <w:abstractNumId w:val="8"/>
  </w:num>
  <w:num w:numId="8">
    <w:abstractNumId w:val="15"/>
  </w:num>
  <w:num w:numId="9">
    <w:abstractNumId w:val="18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19"/>
  </w:num>
  <w:num w:numId="15">
    <w:abstractNumId w:val="16"/>
  </w:num>
  <w:num w:numId="16">
    <w:abstractNumId w:val="9"/>
  </w:num>
  <w:num w:numId="17">
    <w:abstractNumId w:val="21"/>
  </w:num>
  <w:num w:numId="18">
    <w:abstractNumId w:val="20"/>
  </w:num>
  <w:num w:numId="19">
    <w:abstractNumId w:val="11"/>
  </w:num>
  <w:num w:numId="20">
    <w:abstractNumId w:val="6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E2"/>
    <w:rsid w:val="000360FC"/>
    <w:rsid w:val="00054EE2"/>
    <w:rsid w:val="00080C25"/>
    <w:rsid w:val="00082AE4"/>
    <w:rsid w:val="0008613F"/>
    <w:rsid w:val="00095370"/>
    <w:rsid w:val="000B4D43"/>
    <w:rsid w:val="000C1A82"/>
    <w:rsid w:val="000C35B4"/>
    <w:rsid w:val="000F24E7"/>
    <w:rsid w:val="00112F5C"/>
    <w:rsid w:val="00113F2F"/>
    <w:rsid w:val="00120D65"/>
    <w:rsid w:val="00122266"/>
    <w:rsid w:val="00137DA7"/>
    <w:rsid w:val="00147138"/>
    <w:rsid w:val="0015236A"/>
    <w:rsid w:val="00156497"/>
    <w:rsid w:val="0018027A"/>
    <w:rsid w:val="00194E39"/>
    <w:rsid w:val="001B35D2"/>
    <w:rsid w:val="001D16D4"/>
    <w:rsid w:val="001F3E79"/>
    <w:rsid w:val="0021062D"/>
    <w:rsid w:val="00221F59"/>
    <w:rsid w:val="00240444"/>
    <w:rsid w:val="00252F51"/>
    <w:rsid w:val="002673F0"/>
    <w:rsid w:val="0028032E"/>
    <w:rsid w:val="00284319"/>
    <w:rsid w:val="002C2F98"/>
    <w:rsid w:val="002C45E8"/>
    <w:rsid w:val="002C5A71"/>
    <w:rsid w:val="003152F1"/>
    <w:rsid w:val="00324BB8"/>
    <w:rsid w:val="00344E68"/>
    <w:rsid w:val="003612A9"/>
    <w:rsid w:val="0038569A"/>
    <w:rsid w:val="00397FE0"/>
    <w:rsid w:val="003C6805"/>
    <w:rsid w:val="003D31A3"/>
    <w:rsid w:val="003D6503"/>
    <w:rsid w:val="003D6CD8"/>
    <w:rsid w:val="003E7CD7"/>
    <w:rsid w:val="00410CC1"/>
    <w:rsid w:val="004323F2"/>
    <w:rsid w:val="0044233D"/>
    <w:rsid w:val="0044414A"/>
    <w:rsid w:val="00460B7E"/>
    <w:rsid w:val="0046439E"/>
    <w:rsid w:val="00493B56"/>
    <w:rsid w:val="004A11D9"/>
    <w:rsid w:val="004B6D95"/>
    <w:rsid w:val="004C560E"/>
    <w:rsid w:val="004E481B"/>
    <w:rsid w:val="004F33D9"/>
    <w:rsid w:val="004F3DBD"/>
    <w:rsid w:val="00514A04"/>
    <w:rsid w:val="0052377B"/>
    <w:rsid w:val="005424CD"/>
    <w:rsid w:val="00550B4C"/>
    <w:rsid w:val="005571D4"/>
    <w:rsid w:val="00576736"/>
    <w:rsid w:val="005A492F"/>
    <w:rsid w:val="005A6929"/>
    <w:rsid w:val="005B7C38"/>
    <w:rsid w:val="005C1CFE"/>
    <w:rsid w:val="005C385F"/>
    <w:rsid w:val="005E7C24"/>
    <w:rsid w:val="005F2215"/>
    <w:rsid w:val="005F4E22"/>
    <w:rsid w:val="00656E04"/>
    <w:rsid w:val="006573E0"/>
    <w:rsid w:val="00661F94"/>
    <w:rsid w:val="00674BD3"/>
    <w:rsid w:val="00677252"/>
    <w:rsid w:val="00682A55"/>
    <w:rsid w:val="00695B62"/>
    <w:rsid w:val="006A5303"/>
    <w:rsid w:val="006B645A"/>
    <w:rsid w:val="006D55E2"/>
    <w:rsid w:val="006E4E45"/>
    <w:rsid w:val="00751139"/>
    <w:rsid w:val="00751A02"/>
    <w:rsid w:val="007B18CF"/>
    <w:rsid w:val="0083406C"/>
    <w:rsid w:val="0084160F"/>
    <w:rsid w:val="0085416E"/>
    <w:rsid w:val="008601E9"/>
    <w:rsid w:val="00860389"/>
    <w:rsid w:val="00890DD6"/>
    <w:rsid w:val="00892089"/>
    <w:rsid w:val="008A11D1"/>
    <w:rsid w:val="008A3703"/>
    <w:rsid w:val="008B0839"/>
    <w:rsid w:val="008D04A4"/>
    <w:rsid w:val="008F2C76"/>
    <w:rsid w:val="008F4C43"/>
    <w:rsid w:val="00906FE0"/>
    <w:rsid w:val="0091200B"/>
    <w:rsid w:val="00941458"/>
    <w:rsid w:val="00965098"/>
    <w:rsid w:val="00983EB3"/>
    <w:rsid w:val="00987AD5"/>
    <w:rsid w:val="0099336A"/>
    <w:rsid w:val="009954E0"/>
    <w:rsid w:val="009A3010"/>
    <w:rsid w:val="009B01E0"/>
    <w:rsid w:val="009C3AD5"/>
    <w:rsid w:val="009C61CE"/>
    <w:rsid w:val="009D54F6"/>
    <w:rsid w:val="009E4BF3"/>
    <w:rsid w:val="009F71B5"/>
    <w:rsid w:val="00A006BE"/>
    <w:rsid w:val="00A1448F"/>
    <w:rsid w:val="00A21D6D"/>
    <w:rsid w:val="00A24A5F"/>
    <w:rsid w:val="00A31894"/>
    <w:rsid w:val="00A3586B"/>
    <w:rsid w:val="00A461C9"/>
    <w:rsid w:val="00A562E8"/>
    <w:rsid w:val="00A849A9"/>
    <w:rsid w:val="00AD4992"/>
    <w:rsid w:val="00AE12B4"/>
    <w:rsid w:val="00AF0671"/>
    <w:rsid w:val="00AF79CB"/>
    <w:rsid w:val="00B02D5E"/>
    <w:rsid w:val="00B11570"/>
    <w:rsid w:val="00B20C7C"/>
    <w:rsid w:val="00B248F0"/>
    <w:rsid w:val="00B24CCB"/>
    <w:rsid w:val="00B25DFD"/>
    <w:rsid w:val="00B62829"/>
    <w:rsid w:val="00B67582"/>
    <w:rsid w:val="00BA1130"/>
    <w:rsid w:val="00BB7C43"/>
    <w:rsid w:val="00BC4783"/>
    <w:rsid w:val="00BE34DA"/>
    <w:rsid w:val="00BF2B4A"/>
    <w:rsid w:val="00BF54CE"/>
    <w:rsid w:val="00BF61D4"/>
    <w:rsid w:val="00C25B40"/>
    <w:rsid w:val="00C27C4E"/>
    <w:rsid w:val="00C31032"/>
    <w:rsid w:val="00C348ED"/>
    <w:rsid w:val="00C35786"/>
    <w:rsid w:val="00C44A71"/>
    <w:rsid w:val="00C46A08"/>
    <w:rsid w:val="00C53DDC"/>
    <w:rsid w:val="00C728A2"/>
    <w:rsid w:val="00C77C57"/>
    <w:rsid w:val="00CC061D"/>
    <w:rsid w:val="00CC529C"/>
    <w:rsid w:val="00CC5BAF"/>
    <w:rsid w:val="00CD504B"/>
    <w:rsid w:val="00CE05A0"/>
    <w:rsid w:val="00CF12EC"/>
    <w:rsid w:val="00D017E7"/>
    <w:rsid w:val="00D03743"/>
    <w:rsid w:val="00D15336"/>
    <w:rsid w:val="00D16B07"/>
    <w:rsid w:val="00D22859"/>
    <w:rsid w:val="00D410D7"/>
    <w:rsid w:val="00D44184"/>
    <w:rsid w:val="00D47A56"/>
    <w:rsid w:val="00D6122A"/>
    <w:rsid w:val="00D65216"/>
    <w:rsid w:val="00D82107"/>
    <w:rsid w:val="00D91157"/>
    <w:rsid w:val="00DA42DF"/>
    <w:rsid w:val="00DA7230"/>
    <w:rsid w:val="00DC48D9"/>
    <w:rsid w:val="00DF709B"/>
    <w:rsid w:val="00E1117F"/>
    <w:rsid w:val="00E15335"/>
    <w:rsid w:val="00E51016"/>
    <w:rsid w:val="00E57FD4"/>
    <w:rsid w:val="00E64FE0"/>
    <w:rsid w:val="00E67910"/>
    <w:rsid w:val="00E67DCE"/>
    <w:rsid w:val="00EB0D57"/>
    <w:rsid w:val="00EB6F76"/>
    <w:rsid w:val="00EC7B5B"/>
    <w:rsid w:val="00ED2EC2"/>
    <w:rsid w:val="00EE5C55"/>
    <w:rsid w:val="00EE7E1E"/>
    <w:rsid w:val="00F02ADE"/>
    <w:rsid w:val="00F32354"/>
    <w:rsid w:val="00F3307C"/>
    <w:rsid w:val="00F33290"/>
    <w:rsid w:val="00F46473"/>
    <w:rsid w:val="00F82B41"/>
    <w:rsid w:val="00F97BAA"/>
    <w:rsid w:val="00FB7545"/>
    <w:rsid w:val="00FC5718"/>
    <w:rsid w:val="00FC75FA"/>
    <w:rsid w:val="00FE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9CB"/>
  </w:style>
  <w:style w:type="paragraph" w:styleId="Footer">
    <w:name w:val="footer"/>
    <w:basedOn w:val="Normal"/>
    <w:link w:val="FooterChar"/>
    <w:uiPriority w:val="99"/>
    <w:unhideWhenUsed/>
    <w:rsid w:val="00AF7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9CB"/>
  </w:style>
  <w:style w:type="paragraph" w:styleId="BalloonText">
    <w:name w:val="Balloon Text"/>
    <w:basedOn w:val="Normal"/>
    <w:link w:val="BalloonTextChar"/>
    <w:uiPriority w:val="99"/>
    <w:semiHidden/>
    <w:unhideWhenUsed/>
    <w:rsid w:val="00AF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9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B7C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7C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7C3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9CB"/>
  </w:style>
  <w:style w:type="paragraph" w:styleId="Footer">
    <w:name w:val="footer"/>
    <w:basedOn w:val="Normal"/>
    <w:link w:val="FooterChar"/>
    <w:uiPriority w:val="99"/>
    <w:unhideWhenUsed/>
    <w:rsid w:val="00AF7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9CB"/>
  </w:style>
  <w:style w:type="paragraph" w:styleId="BalloonText">
    <w:name w:val="Balloon Text"/>
    <w:basedOn w:val="Normal"/>
    <w:link w:val="BalloonTextChar"/>
    <w:uiPriority w:val="99"/>
    <w:semiHidden/>
    <w:unhideWhenUsed/>
    <w:rsid w:val="00AF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9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B7C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7C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7C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DB785-D4DD-4B56-95E7-921166F4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WB316966</dc:creator>
  <cp:lastModifiedBy>Hiroki Uematsu</cp:lastModifiedBy>
  <cp:revision>18</cp:revision>
  <cp:lastPrinted>2014-04-30T15:18:00Z</cp:lastPrinted>
  <dcterms:created xsi:type="dcterms:W3CDTF">2014-04-30T18:22:00Z</dcterms:created>
  <dcterms:modified xsi:type="dcterms:W3CDTF">2014-06-03T03:15:00Z</dcterms:modified>
</cp:coreProperties>
</file>