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2.3.0</w:t>
      </w:r>
    </w:p>
    <w:p>
      <w:pPr>
        <w:pStyle w:val="Normal"/>
        <w:spacing w:before="100" w:after="0"/>
        <w:jc w:val="center"/>
        <w:rPr/>
      </w:pPr>
      <w:r>
        <w:rPr>
          <w:sz w:val="24"/>
          <w:szCs w:val="24"/>
        </w:rPr>
        <w:t>2026-06-16</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2144_292324530" w:tooltip="1 Einführung">
            <w:r>
              <w:rPr>
                <w:rStyle w:val="Verzeichnissprung"/>
              </w:rPr>
              <w:t>1 Einführung</w:t>
              <w:tab/>
              <w:t>4</w:t>
            </w:r>
          </w:hyperlink>
        </w:p>
        <w:p>
          <w:pPr>
            <w:pStyle w:val="TOC2"/>
            <w:tabs>
              <w:tab w:val="clear" w:pos="8743"/>
              <w:tab w:val="right" w:pos="9025" w:leader="dot"/>
            </w:tabs>
            <w:rPr/>
          </w:pPr>
          <w:hyperlink w:anchor="__RefHeading___Toc2146_292324530" w:tooltip="1.1 Einordnung: Warum µCSS?">
            <w:r>
              <w:rPr>
                <w:rStyle w:val="Verzeichnissprung"/>
              </w:rPr>
              <w:t>1.1 Einordnung: Warum µCSS?</w:t>
              <w:tab/>
              <w:t>4</w:t>
            </w:r>
          </w:hyperlink>
        </w:p>
        <w:p>
          <w:pPr>
            <w:pStyle w:val="TOC1"/>
            <w:tabs>
              <w:tab w:val="clear" w:pos="9026"/>
              <w:tab w:val="right" w:pos="9025" w:leader="dot"/>
            </w:tabs>
            <w:rPr/>
          </w:pPr>
          <w:hyperlink w:anchor="__RefHeading___Toc2148_292324530" w:tooltip="2 Installation und Start">
            <w:r>
              <w:rPr>
                <w:rStyle w:val="Verzeichnissprung"/>
              </w:rPr>
              <w:t>2 Installation und Start</w:t>
              <w:tab/>
              <w:t>6</w:t>
            </w:r>
          </w:hyperlink>
        </w:p>
        <w:p>
          <w:pPr>
            <w:pStyle w:val="TOC1"/>
            <w:tabs>
              <w:tab w:val="clear" w:pos="9026"/>
              <w:tab w:val="right" w:pos="9025" w:leader="dot"/>
            </w:tabs>
            <w:rPr/>
          </w:pPr>
          <w:hyperlink w:anchor="__RefHeading___Toc2150_292324530" w:tooltip="3 Anwendungsfälle">
            <w:r>
              <w:rPr>
                <w:rStyle w:val="Verzeichnissprung"/>
              </w:rPr>
              <w:t>3 Anwendungsfälle</w:t>
              <w:tab/>
              <w:t>7</w:t>
            </w:r>
          </w:hyperlink>
        </w:p>
        <w:p>
          <w:pPr>
            <w:pStyle w:val="TOC2"/>
            <w:tabs>
              <w:tab w:val="clear" w:pos="8743"/>
              <w:tab w:val="right" w:pos="9025" w:leader="dot"/>
            </w:tabs>
            <w:rPr/>
          </w:pPr>
          <w:hyperlink w:anchor="__RefHeading___Toc2152_292324530" w:tooltip="3.1 Benannte Eigenschaften (Variablen)">
            <w:r>
              <w:rPr>
                <w:rStyle w:val="Verzeichnissprung"/>
              </w:rPr>
              <w:t>3.1 Benannte Eigenschaften (Variablen)</w:t>
              <w:tab/>
              <w:t>7</w:t>
            </w:r>
          </w:hyperlink>
        </w:p>
        <w:p>
          <w:pPr>
            <w:pStyle w:val="TOC2"/>
            <w:tabs>
              <w:tab w:val="clear" w:pos="8743"/>
              <w:tab w:val="right" w:pos="9025" w:leader="dot"/>
            </w:tabs>
            <w:rPr/>
          </w:pPr>
          <w:hyperlink w:anchor="__RefHeading___Toc2154_292324530" w:tooltip="3.2 Berechnungen und Ausdrücke">
            <w:r>
              <w:rPr>
                <w:rStyle w:val="Verzeichnissprung"/>
              </w:rPr>
              <w:t>3.2 Berechnungen und Ausdrücke</w:t>
              <w:tab/>
              <w:t>7</w:t>
            </w:r>
          </w:hyperlink>
        </w:p>
        <w:p>
          <w:pPr>
            <w:pStyle w:val="TOC2"/>
            <w:tabs>
              <w:tab w:val="clear" w:pos="8743"/>
              <w:tab w:val="right" w:pos="9025" w:leader="dot"/>
            </w:tabs>
            <w:rPr/>
          </w:pPr>
          <w:hyperlink w:anchor="__RefHeading___Toc2156_292324530" w:tooltip="3.3 Mehrere Layouts über Skin-Manifeste">
            <w:r>
              <w:rPr>
                <w:rStyle w:val="Verzeichnissprung"/>
              </w:rPr>
              <w:t>3.3 Mehrere Layouts über Skin-Manifeste</w:t>
              <w:tab/>
              <w:t>8</w:t>
            </w:r>
          </w:hyperlink>
        </w:p>
        <w:p>
          <w:pPr>
            <w:pStyle w:val="TOC2"/>
            <w:tabs>
              <w:tab w:val="clear" w:pos="8743"/>
              <w:tab w:val="right" w:pos="9025" w:leader="dot"/>
            </w:tabs>
            <w:rPr/>
          </w:pPr>
          <w:hyperlink w:anchor="__RefHeading___Toc2158_292324530" w:tooltip="3.4 Automatische Sprite-Generierung">
            <w:r>
              <w:rPr>
                <w:rStyle w:val="Verzeichnissprung"/>
              </w:rPr>
              <w:t>3.4 Automatische Sprite-Generierung</w:t>
              <w:tab/>
              <w:t>8</w:t>
            </w:r>
          </w:hyperlink>
        </w:p>
        <w:p>
          <w:pPr>
            <w:pStyle w:val="TOC2"/>
            <w:tabs>
              <w:tab w:val="clear" w:pos="8743"/>
              <w:tab w:val="right" w:pos="9025" w:leader="dot"/>
            </w:tabs>
            <w:rPr/>
          </w:pPr>
          <w:hyperlink w:anchor="__RefHeading___Toc2160_292324530" w:tooltip="3.5 Bilder vorladen (Preload)">
            <w:r>
              <w:rPr>
                <w:rStyle w:val="Verzeichnissprung"/>
              </w:rPr>
              <w:t>3.5 Bilder vorladen (Preload)</w:t>
              <w:tab/>
              <w:t>9</w:t>
            </w:r>
          </w:hyperlink>
        </w:p>
        <w:p>
          <w:pPr>
            <w:pStyle w:val="TOC2"/>
            <w:tabs>
              <w:tab w:val="clear" w:pos="8743"/>
              <w:tab w:val="right" w:pos="9025" w:leader="dot"/>
            </w:tabs>
            <w:rPr/>
          </w:pPr>
          <w:hyperlink w:anchor="__RefHeading___Toc2162_292324530" w:tooltip="3.6 Cursor mit Hotspot und Fallback">
            <w:r>
              <w:rPr>
                <w:rStyle w:val="Verzeichnissprung"/>
              </w:rPr>
              <w:t>3.6 Cursor mit Hotspot und Fallback</w:t>
              <w:tab/>
              <w:t>9</w:t>
            </w:r>
          </w:hyperlink>
        </w:p>
        <w:p>
          <w:pPr>
            <w:pStyle w:val="TOC2"/>
            <w:tabs>
              <w:tab w:val="clear" w:pos="8743"/>
              <w:tab w:val="right" w:pos="9025" w:leader="dot"/>
            </w:tabs>
            <w:rPr/>
          </w:pPr>
          <w:hyperlink w:anchor="__RefHeading___Toc2164_292324530" w:tooltip="3.7 Automatische Bilderzeugung (media-Steps)">
            <w:r>
              <w:rPr>
                <w:rStyle w:val="Verzeichnissprung"/>
              </w:rPr>
              <w:t>3.7 Automatische Bilderzeugung (media-Steps)</w:t>
              <w:tab/>
              <w:t>9</w:t>
            </w:r>
          </w:hyperlink>
        </w:p>
        <w:p>
          <w:pPr>
            <w:pStyle w:val="TOC3"/>
            <w:tabs>
              <w:tab w:val="clear" w:pos="8459"/>
              <w:tab w:val="right" w:pos="9025" w:leader="dot"/>
            </w:tabs>
            <w:rPr/>
          </w:pPr>
          <w:hyperlink w:anchor="__RefHeading___Toc2166_292324530" w:tooltip="3.7.1 Zwischenschritte raw → final (`outputBase`)">
            <w:r>
              <w:rPr>
                <w:rStyle w:val="Verzeichnissprung"/>
              </w:rPr>
              <w:t>3.7.1 Zwischenschritte raw → final (`outputBase`)</w:t>
              <w:tab/>
              <w:t>10</w:t>
            </w:r>
          </w:hyperlink>
        </w:p>
        <w:p>
          <w:pPr>
            <w:pStyle w:val="TOC1"/>
            <w:tabs>
              <w:tab w:val="clear" w:pos="9026"/>
              <w:tab w:val="right" w:pos="9025" w:leader="dot"/>
            </w:tabs>
            <w:rPr/>
          </w:pPr>
          <w:hyperlink w:anchor="__RefHeading___Toc2168_292324530" w:tooltip="4 Vue und Komponenten-Co-Location">
            <w:r>
              <w:rPr>
                <w:rStyle w:val="Verzeichnissprung"/>
              </w:rPr>
              <w:t>4 Vue und Komponenten-Co-Location</w:t>
              <w:tab/>
              <w:t>12</w:t>
            </w:r>
          </w:hyperlink>
        </w:p>
        <w:p>
          <w:pPr>
            <w:pStyle w:val="TOC2"/>
            <w:tabs>
              <w:tab w:val="clear" w:pos="8743"/>
              <w:tab w:val="right" w:pos="9025" w:leader="dot"/>
            </w:tabs>
            <w:rPr/>
          </w:pPr>
          <w:hyperlink w:anchor="__RefHeading___Toc2170_292324530" w:tooltip="4.1 Ablauf">
            <w:r>
              <w:rPr>
                <w:rStyle w:val="Verzeichnissprung"/>
              </w:rPr>
              <w:t>4.1 Ablauf</w:t>
              <w:tab/>
              <w:t>12</w:t>
            </w:r>
          </w:hyperlink>
        </w:p>
        <w:p>
          <w:pPr>
            <w:pStyle w:val="TOC2"/>
            <w:tabs>
              <w:tab w:val="clear" w:pos="8743"/>
              <w:tab w:val="right" w:pos="9025" w:leader="dot"/>
            </w:tabs>
            <w:rPr/>
          </w:pPr>
          <w:hyperlink w:anchor="__RefHeading___Toc2172_292324530" w:tooltip="4.2 Namespaces und globale State-Klassen">
            <w:r>
              <w:rPr>
                <w:rStyle w:val="Verzeichnissprung"/>
              </w:rPr>
              <w:t>4.2 Namespaces und globale State-Klassen</w:t>
              <w:tab/>
              <w:t>12</w:t>
            </w:r>
          </w:hyperlink>
        </w:p>
        <w:p>
          <w:pPr>
            <w:pStyle w:val="TOC2"/>
            <w:tabs>
              <w:tab w:val="clear" w:pos="8743"/>
              <w:tab w:val="right" w:pos="9025" w:leader="dot"/>
            </w:tabs>
            <w:rPr/>
          </w:pPr>
          <w:hyperlink w:anchor="__RefHeading___Toc2174_292324530" w:tooltip="4.3 Bestehende Vue-SFCs migrieren">
            <w:r>
              <w:rPr>
                <w:rStyle w:val="Verzeichnissprung"/>
              </w:rPr>
              <w:t>4.3 Bestehende Vue-SFCs migrieren</w:t>
              <w:tab/>
              <w:t>12</w:t>
            </w:r>
          </w:hyperlink>
        </w:p>
        <w:p>
          <w:pPr>
            <w:pStyle w:val="TOC1"/>
            <w:tabs>
              <w:tab w:val="clear" w:pos="9026"/>
              <w:tab w:val="right" w:pos="9025" w:leader="dot"/>
            </w:tabs>
            <w:rPr/>
          </w:pPr>
          <w:hyperlink w:anchor="__RefHeading___Toc2176_292324530" w:tooltip="5 Grundideen von µCSS">
            <w:r>
              <w:rPr>
                <w:rStyle w:val="Verzeichnissprung"/>
              </w:rPr>
              <w:t>5 Grundideen von µCSS</w:t>
              <w:tab/>
              <w:t>13</w:t>
            </w:r>
          </w:hyperlink>
        </w:p>
        <w:p>
          <w:pPr>
            <w:pStyle w:val="TOC2"/>
            <w:tabs>
              <w:tab w:val="clear" w:pos="8743"/>
              <w:tab w:val="right" w:pos="9025" w:leader="dot"/>
            </w:tabs>
            <w:rPr/>
          </w:pPr>
          <w:hyperlink w:anchor="__RefHeading___Toc2178_292324530" w:tooltip="5.1 Das .µ.css-Format">
            <w:r>
              <w:rPr>
                <w:rStyle w:val="Verzeichnissprung"/>
              </w:rPr>
              <w:t>5.1 Das .µ.css-Format</w:t>
              <w:tab/>
              <w:t>13</w:t>
            </w:r>
          </w:hyperlink>
        </w:p>
        <w:p>
          <w:pPr>
            <w:pStyle w:val="TOC2"/>
            <w:tabs>
              <w:tab w:val="clear" w:pos="8743"/>
              <w:tab w:val="right" w:pos="9025" w:leader="dot"/>
            </w:tabs>
            <w:rPr/>
          </w:pPr>
          <w:hyperlink w:anchor="__RefHeading___Toc2180_292324530" w:tooltip="5.2 Werte-Interpolation µ(Ausdruck)">
            <w:r>
              <w:rPr>
                <w:rStyle w:val="Verzeichnissprung"/>
              </w:rPr>
              <w:t>5.2 Werte-Interpolation µ(Ausdruck)</w:t>
              <w:tab/>
              <w:t>13</w:t>
            </w:r>
          </w:hyperlink>
        </w:p>
        <w:p>
          <w:pPr>
            <w:pStyle w:val="TOC2"/>
            <w:tabs>
              <w:tab w:val="clear" w:pos="8743"/>
              <w:tab w:val="right" w:pos="9025" w:leader="dot"/>
            </w:tabs>
            <w:rPr/>
          </w:pPr>
          <w:hyperlink w:anchor="__RefHeading___Toc2182_292324530" w:tooltip="5.3 Direktiven -µ: Ausdruck">
            <w:r>
              <w:rPr>
                <w:rStyle w:val="Verzeichnissprung"/>
              </w:rPr>
              <w:t>5.3 Direktiven -µ: Ausdruck</w:t>
              <w:tab/>
              <w:t>13</w:t>
            </w:r>
          </w:hyperlink>
        </w:p>
        <w:p>
          <w:pPr>
            <w:pStyle w:val="TOC2"/>
            <w:tabs>
              <w:tab w:val="clear" w:pos="8743"/>
              <w:tab w:val="right" w:pos="9025" w:leader="dot"/>
            </w:tabs>
            <w:rPr/>
          </w:pPr>
          <w:hyperlink w:anchor="__RefHeading___Toc2184_292324530" w:tooltip="5.4 Das Skin-Manifest">
            <w:r>
              <w:rPr>
                <w:rStyle w:val="Verzeichnissprung"/>
              </w:rPr>
              <w:t>5.4 Das Skin-Manifest</w:t>
              <w:tab/>
              <w:t>14</w:t>
            </w:r>
          </w:hyperlink>
        </w:p>
        <w:p>
          <w:pPr>
            <w:pStyle w:val="TOC2"/>
            <w:tabs>
              <w:tab w:val="clear" w:pos="8743"/>
              <w:tab w:val="right" w:pos="9025" w:leader="dot"/>
            </w:tabs>
            <w:rPr/>
          </w:pPr>
          <w:hyperlink w:anchor="__RefHeading___Toc2186_292324530" w:tooltip="5.5 JavaScript ohne Ersatzzeichen">
            <w:r>
              <w:rPr>
                <w:rStyle w:val="Verzeichnissprung"/>
              </w:rPr>
              <w:t>5.5 JavaScript ohne Ersatzzeichen</w:t>
              <w:tab/>
              <w:t>14</w:t>
            </w:r>
          </w:hyperlink>
        </w:p>
        <w:p>
          <w:pPr>
            <w:pStyle w:val="TOC1"/>
            <w:tabs>
              <w:tab w:val="clear" w:pos="9026"/>
              <w:tab w:val="right" w:pos="9025" w:leader="dot"/>
            </w:tabs>
            <w:rPr/>
          </w:pPr>
          <w:hyperlink w:anchor="__RefHeading___Toc2188_292324530" w:tooltip="6 Build-Ablauf und Gulp-Integration">
            <w:r>
              <w:rPr>
                <w:rStyle w:val="Verzeichnissprung"/>
              </w:rPr>
              <w:t>6 Build-Ablauf und Gulp-Integration</w:t>
              <w:tab/>
              <w:t>15</w:t>
            </w:r>
          </w:hyperlink>
        </w:p>
        <w:p>
          <w:pPr>
            <w:pStyle w:val="TOC2"/>
            <w:tabs>
              <w:tab w:val="clear" w:pos="8743"/>
              <w:tab w:val="right" w:pos="9025" w:leader="dot"/>
            </w:tabs>
            <w:rPr/>
          </w:pPr>
          <w:hyperlink w:anchor="__RefHeading___Toc2190_292324530" w:tooltip="6.1 Verzeichniskonventionen">
            <w:r>
              <w:rPr>
                <w:rStyle w:val="Verzeichnissprung"/>
              </w:rPr>
              <w:t>6.1 Verzeichniskonventionen</w:t>
              <w:tab/>
              <w:t>15</w:t>
            </w:r>
          </w:hyperlink>
        </w:p>
        <w:p>
          <w:pPr>
            <w:pStyle w:val="TOC2"/>
            <w:tabs>
              <w:tab w:val="clear" w:pos="8743"/>
              <w:tab w:val="right" w:pos="9025" w:leader="dot"/>
            </w:tabs>
            <w:rPr/>
          </w:pPr>
          <w:hyperlink w:anchor="__RefHeading___Toc2192_292324530" w:tooltip="6.2 Kompilierungs-Ablauf">
            <w:r>
              <w:rPr>
                <w:rStyle w:val="Verzeichnissprung"/>
              </w:rPr>
              <w:t>6.2 Kompilierungs-Ablauf</w:t>
              <w:tab/>
              <w:t>15</w:t>
            </w:r>
          </w:hyperlink>
        </w:p>
        <w:p>
          <w:pPr>
            <w:pStyle w:val="TOC2"/>
            <w:tabs>
              <w:tab w:val="clear" w:pos="8743"/>
              <w:tab w:val="right" w:pos="9025" w:leader="dot"/>
            </w:tabs>
            <w:rPr/>
          </w:pPr>
          <w:hyperlink w:anchor="__RefHeading___Toc2194_292324530" w:tooltip="6.3 Inkrementeller Build und Cache">
            <w:r>
              <w:rPr>
                <w:rStyle w:val="Verzeichnissprung"/>
              </w:rPr>
              <w:t>6.3 Inkrementeller Build und Cache</w:t>
              <w:tab/>
              <w:t>15</w:t>
            </w:r>
          </w:hyperlink>
        </w:p>
        <w:p>
          <w:pPr>
            <w:pStyle w:val="TOC2"/>
            <w:tabs>
              <w:tab w:val="clear" w:pos="8743"/>
              <w:tab w:val="right" w:pos="9025" w:leader="dot"/>
            </w:tabs>
            <w:rPr/>
          </w:pPr>
          <w:hyperlink w:anchor="__RefHeading___Toc2196_292324530" w:tooltip="6.4 Gulp-Tasks und Watch">
            <w:r>
              <w:rPr>
                <w:rStyle w:val="Verzeichnissprung"/>
              </w:rPr>
              <w:t>6.4 Gulp-Tasks und Watch</w:t>
              <w:tab/>
              <w:t>16</w:t>
            </w:r>
          </w:hyperlink>
        </w:p>
        <w:p>
          <w:pPr>
            <w:pStyle w:val="TOC1"/>
            <w:tabs>
              <w:tab w:val="clear" w:pos="9026"/>
              <w:tab w:val="right" w:pos="9025" w:leader="dot"/>
            </w:tabs>
            <w:rPr/>
          </w:pPr>
          <w:hyperlink w:anchor="__RefHeading___Toc2198_292324530" w:tooltip="7 Manifest-Referenz (DefineSkin)">
            <w:r>
              <w:rPr>
                <w:rStyle w:val="Verzeichnissprung"/>
              </w:rPr>
              <w:t>7 Manifest-Referenz (DefineSkin)</w:t>
              <w:tab/>
              <w:t>17</w:t>
            </w:r>
          </w:hyperlink>
        </w:p>
        <w:p>
          <w:pPr>
            <w:pStyle w:val="TOC2"/>
            <w:tabs>
              <w:tab w:val="clear" w:pos="8743"/>
              <w:tab w:val="right" w:pos="9025" w:leader="dot"/>
            </w:tabs>
            <w:rPr/>
          </w:pPr>
          <w:hyperlink w:anchor="__RefHeading___Toc2200_292324530" w:tooltip="7.1 vars">
            <w:r>
              <w:rPr>
                <w:rStyle w:val="Verzeichnissprung"/>
              </w:rPr>
              <w:t>7.1 vars</w:t>
              <w:tab/>
              <w:t>17</w:t>
            </w:r>
          </w:hyperlink>
        </w:p>
        <w:p>
          <w:pPr>
            <w:pStyle w:val="TOC2"/>
            <w:tabs>
              <w:tab w:val="clear" w:pos="8743"/>
              <w:tab w:val="right" w:pos="9025" w:leader="dot"/>
            </w:tabs>
            <w:rPr/>
          </w:pPr>
          <w:hyperlink w:anchor="__RefHeading___Toc2202_292324530" w:tooltip="7.2 helpers">
            <w:r>
              <w:rPr>
                <w:rStyle w:val="Verzeichnissprung"/>
              </w:rPr>
              <w:t>7.2 helpers</w:t>
              <w:tab/>
              <w:t>17</w:t>
            </w:r>
          </w:hyperlink>
        </w:p>
        <w:p>
          <w:pPr>
            <w:pStyle w:val="TOC2"/>
            <w:tabs>
              <w:tab w:val="clear" w:pos="8743"/>
              <w:tab w:val="right" w:pos="9025" w:leader="dot"/>
            </w:tabs>
            <w:rPr/>
          </w:pPr>
          <w:hyperlink w:anchor="__RefHeading___Toc2204_292324530" w:tooltip="7.3 cursors">
            <w:r>
              <w:rPr>
                <w:rStyle w:val="Verzeichnissprung"/>
              </w:rPr>
              <w:t>7.3 cursors</w:t>
              <w:tab/>
              <w:t>17</w:t>
            </w:r>
          </w:hyperlink>
        </w:p>
        <w:p>
          <w:pPr>
            <w:pStyle w:val="TOC2"/>
            <w:tabs>
              <w:tab w:val="clear" w:pos="8743"/>
              <w:tab w:val="right" w:pos="9025" w:leader="dot"/>
            </w:tabs>
            <w:rPr/>
          </w:pPr>
          <w:hyperlink w:anchor="__RefHeading___Toc2206_292324530" w:tooltip="7.4 media">
            <w:r>
              <w:rPr>
                <w:rStyle w:val="Verzeichnissprung"/>
              </w:rPr>
              <w:t>7.4 media</w:t>
              <w:tab/>
              <w:t>17</w:t>
            </w:r>
          </w:hyperlink>
        </w:p>
        <w:p>
          <w:pPr>
            <w:pStyle w:val="TOC2"/>
            <w:tabs>
              <w:tab w:val="clear" w:pos="8743"/>
              <w:tab w:val="right" w:pos="9025" w:leader="dot"/>
            </w:tabs>
            <w:rPr/>
          </w:pPr>
          <w:hyperlink w:anchor="__RefHeading___Toc2208_292324530" w:tooltip="7.5 imageFormat">
            <w:r>
              <w:rPr>
                <w:rStyle w:val="Verzeichnissprung"/>
              </w:rPr>
              <w:t>7.5 imageFormat</w:t>
              <w:tab/>
              <w:t>18</w:t>
            </w:r>
          </w:hyperlink>
        </w:p>
        <w:p>
          <w:pPr>
            <w:pStyle w:val="TOC2"/>
            <w:tabs>
              <w:tab w:val="clear" w:pos="8743"/>
              <w:tab w:val="right" w:pos="9025" w:leader="dot"/>
            </w:tabs>
            <w:rPr/>
          </w:pPr>
          <w:hyperlink w:anchor="__RefHeading___Toc2210_292324530" w:tooltip="7.6 sprites">
            <w:r>
              <w:rPr>
                <w:rStyle w:val="Verzeichnissprung"/>
              </w:rPr>
              <w:t>7.6 sprites</w:t>
              <w:tab/>
              <w:t>19</w:t>
            </w:r>
          </w:hyperlink>
        </w:p>
        <w:p>
          <w:pPr>
            <w:pStyle w:val="TOC2"/>
            <w:tabs>
              <w:tab w:val="clear" w:pos="8743"/>
              <w:tab w:val="right" w:pos="9025" w:leader="dot"/>
            </w:tabs>
            <w:rPr/>
          </w:pPr>
          <w:hyperlink w:anchor="__RefHeading___Toc2212_292324530" w:tooltip="7.7 files">
            <w:r>
              <w:rPr>
                <w:rStyle w:val="Verzeichnissprung"/>
              </w:rPr>
              <w:t>7.7 files</w:t>
              <w:tab/>
              <w:t>19</w:t>
            </w:r>
          </w:hyperlink>
        </w:p>
        <w:p>
          <w:pPr>
            <w:pStyle w:val="TOC1"/>
            <w:tabs>
              <w:tab w:val="clear" w:pos="9026"/>
              <w:tab w:val="right" w:pos="9025" w:leader="dot"/>
            </w:tabs>
            <w:rPr/>
          </w:pPr>
          <w:hyperlink w:anchor="__RefHeading___Toc2214_292324530" w:tooltip="8 µ-Auswertungskontext (Referenz)">
            <w:r>
              <w:rPr>
                <w:rStyle w:val="Verzeichnissprung"/>
              </w:rPr>
              <w:t>8 µ-Auswertungskontext (Referenz)</w:t>
              <w:tab/>
              <w:t>20</w:t>
            </w:r>
          </w:hyperlink>
        </w:p>
        <w:p>
          <w:pPr>
            <w:pStyle w:val="TOC2"/>
            <w:tabs>
              <w:tab w:val="clear" w:pos="8743"/>
              <w:tab w:val="right" w:pos="9025" w:leader="dot"/>
            </w:tabs>
            <w:rPr/>
          </w:pPr>
          <w:hyperlink w:anchor="__RefHeading___Toc2216_292324530" w:tooltip="8.1 Das $-Objekt">
            <w:r>
              <w:rPr>
                <w:rStyle w:val="Verzeichnissprung"/>
              </w:rPr>
              <w:t>8.1 Das $-Objekt</w:t>
              <w:tab/>
              <w:t>20</w:t>
            </w:r>
          </w:hyperlink>
        </w:p>
        <w:p>
          <w:pPr>
            <w:pStyle w:val="TOC2"/>
            <w:tabs>
              <w:tab w:val="clear" w:pos="8743"/>
              <w:tab w:val="right" w:pos="9025" w:leader="dot"/>
            </w:tabs>
            <w:rPr/>
          </w:pPr>
          <w:hyperlink w:anchor="__RefHeading___Toc2218_292324530" w:tooltip="8.2 Farb- und Wert-Funktionen">
            <w:r>
              <w:rPr>
                <w:rStyle w:val="Verzeichnissprung"/>
              </w:rPr>
              <w:t>8.2 Farb- und Wert-Funktionen</w:t>
              <w:tab/>
              <w:t>20</w:t>
            </w:r>
          </w:hyperlink>
        </w:p>
        <w:p>
          <w:pPr>
            <w:pStyle w:val="TOC2"/>
            <w:tabs>
              <w:tab w:val="clear" w:pos="8743"/>
              <w:tab w:val="right" w:pos="9025" w:leader="dot"/>
            </w:tabs>
            <w:rPr/>
          </w:pPr>
          <w:hyperlink w:anchor="__RefHeading___Toc2220_292324530" w:tooltip="8.3 Regel- und Dokument-Methoden">
            <w:r>
              <w:rPr>
                <w:rStyle w:val="Verzeichnissprung"/>
              </w:rPr>
              <w:t>8.3 Regel- und Dokument-Methoden</w:t>
              <w:tab/>
              <w:t>20</w:t>
            </w:r>
          </w:hyperlink>
        </w:p>
        <w:p>
          <w:pPr>
            <w:pStyle w:val="TOC2"/>
            <w:tabs>
              <w:tab w:val="clear" w:pos="8743"/>
              <w:tab w:val="right" w:pos="9025" w:leader="dot"/>
            </w:tabs>
            <w:rPr/>
          </w:pPr>
          <w:hyperlink w:anchor="__RefHeading___Toc2222_292324530" w:tooltip="8.4 Sprite()">
            <w:r>
              <w:rPr>
                <w:rStyle w:val="Verzeichnissprung"/>
              </w:rPr>
              <w:t>8.4 Sprite()</w:t>
              <w:tab/>
              <w:t>21</w:t>
            </w:r>
          </w:hyperlink>
        </w:p>
        <w:p>
          <w:pPr>
            <w:pStyle w:val="TOC2"/>
            <w:tabs>
              <w:tab w:val="clear" w:pos="8743"/>
              <w:tab w:val="right" w:pos="9025" w:leader="dot"/>
            </w:tabs>
            <w:rPr/>
          </w:pPr>
          <w:hyperlink w:anchor="__RefHeading___Toc2224_292324530" w:tooltip="8.5 Cursor()">
            <w:r>
              <w:rPr>
                <w:rStyle w:val="Verzeichnissprung"/>
              </w:rPr>
              <w:t>8.5 Cursor()</w:t>
              <w:tab/>
              <w:t>21</w:t>
            </w:r>
          </w:hyperlink>
        </w:p>
        <w:p>
          <w:pPr>
            <w:pStyle w:val="TOC2"/>
            <w:tabs>
              <w:tab w:val="clear" w:pos="8743"/>
              <w:tab w:val="right" w:pos="9025" w:leader="dot"/>
            </w:tabs>
            <w:rPr/>
          </w:pPr>
          <w:hyperlink w:anchor="__RefHeading___Toc2226_292324530" w:tooltip="8.6 Helper-Funktionen und this-Bindung">
            <w:r>
              <w:rPr>
                <w:rStyle w:val="Verzeichnissprung"/>
              </w:rPr>
              <w:t>8.6 Helper-Funktionen und this-Bindung</w:t>
              <w:tab/>
              <w:t>21</w:t>
            </w:r>
          </w:hyperlink>
        </w:p>
        <w:p>
          <w:pPr>
            <w:pStyle w:val="TOC2"/>
            <w:tabs>
              <w:tab w:val="clear" w:pos="8743"/>
              <w:tab w:val="right" w:pos="9025" w:leader="dot"/>
            </w:tabs>
            <w:rPr/>
          </w:pPr>
          <w:hyperlink w:anchor="__RefHeading___Toc2228_292324530" w:tooltip="8.7 afterWork-Hooks">
            <w:r>
              <w:rPr>
                <w:rStyle w:val="Verzeichnissprung"/>
              </w:rPr>
              <w:t>8.7 afterWork-Hooks</w:t>
              <w:tab/>
              <w:t>22</w:t>
            </w:r>
          </w:hyperlink>
        </w:p>
        <w:p>
          <w:pPr>
            <w:pStyle w:val="TOC1"/>
            <w:tabs>
              <w:tab w:val="clear" w:pos="9026"/>
              <w:tab w:val="right" w:pos="9025" w:leader="dot"/>
            </w:tabs>
            <w:rPr/>
          </w:pPr>
          <w:hyperlink w:anchor="__RefHeading___Toc2230_292324530" w:tooltip="9 Arbeiten mit Farben">
            <w:r>
              <w:rPr>
                <w:rStyle w:val="Verzeichnissprung"/>
              </w:rPr>
              <w:t>9 Arbeiten mit Farben</w:t>
              <w:tab/>
              <w:t>23</w:t>
            </w:r>
          </w:hyperlink>
        </w:p>
        <w:p>
          <w:pPr>
            <w:pStyle w:val="TOC2"/>
            <w:tabs>
              <w:tab w:val="clear" w:pos="8743"/>
              <w:tab w:val="right" w:pos="9025" w:leader="dot"/>
            </w:tabs>
            <w:rPr/>
          </w:pPr>
          <w:hyperlink w:anchor="__RefHeading___Toc2232_292324530" w:tooltip="9.1 Farben definieren">
            <w:r>
              <w:rPr>
                <w:rStyle w:val="Verzeichnissprung"/>
              </w:rPr>
              <w:t>9.1 Farben definieren</w:t>
              <w:tab/>
              <w:t>23</w:t>
            </w:r>
          </w:hyperlink>
        </w:p>
        <w:p>
          <w:pPr>
            <w:pStyle w:val="TOC2"/>
            <w:tabs>
              <w:tab w:val="clear" w:pos="8743"/>
              <w:tab w:val="right" w:pos="9025" w:leader="dot"/>
            </w:tabs>
            <w:rPr/>
          </w:pPr>
          <w:hyperlink w:anchor="__RefHeading___Toc2234_292324530" w:tooltip="9.2 Alpha-Werte">
            <w:r>
              <w:rPr>
                <w:rStyle w:val="Verzeichnissprung"/>
              </w:rPr>
              <w:t>9.2 Alpha-Werte</w:t>
              <w:tab/>
              <w:t>23</w:t>
            </w:r>
          </w:hyperlink>
        </w:p>
        <w:p>
          <w:pPr>
            <w:pStyle w:val="TOC2"/>
            <w:tabs>
              <w:tab w:val="clear" w:pos="8743"/>
              <w:tab w:val="right" w:pos="9025" w:leader="dot"/>
            </w:tabs>
            <w:rPr/>
          </w:pPr>
          <w:hyperlink w:anchor="__RefHeading___Toc2236_292324530" w:tooltip="9.3 Farbberechnungen">
            <w:r>
              <w:rPr>
                <w:rStyle w:val="Verzeichnissprung"/>
              </w:rPr>
              <w:t>9.3 Farbberechnungen</w:t>
              <w:tab/>
              <w:t>23</w:t>
            </w:r>
          </w:hyperlink>
        </w:p>
        <w:p>
          <w:pPr>
            <w:pStyle w:val="TOC1"/>
            <w:tabs>
              <w:tab w:val="clear" w:pos="9026"/>
              <w:tab w:val="right" w:pos="9025" w:leader="dot"/>
            </w:tabs>
            <w:rPr/>
          </w:pPr>
          <w:hyperlink w:anchor="__RefHeading___Toc2238_292324530" w:tooltip="10 Node-API">
            <w:r>
              <w:rPr>
                <w:rStyle w:val="Verzeichnissprung"/>
              </w:rPr>
              <w:t>10 Node-API</w:t>
              <w:tab/>
              <w:t>24</w:t>
            </w:r>
          </w:hyperlink>
        </w:p>
        <w:p>
          <w:pPr>
            <w:pStyle w:val="TOC1"/>
            <w:tabs>
              <w:tab w:val="clear" w:pos="9026"/>
              <w:tab w:val="right" w:pos="9025" w:leader="dot"/>
            </w:tabs>
            <w:rPr/>
          </w:pPr>
          <w:hyperlink w:anchor="__RefHeading___Toc2240_292324530" w:tooltip="11 Fehlerdiagnostik">
            <w:r>
              <w:rPr>
                <w:rStyle w:val="Verzeichnissprung"/>
              </w:rPr>
              <w:t>11 Fehlerdiagnostik</w:t>
              <w:tab/>
              <w:t>25</w:t>
            </w:r>
          </w:hyperlink>
        </w:p>
        <w:p>
          <w:pPr>
            <w:pStyle w:val="TOC1"/>
            <w:tabs>
              <w:tab w:val="clear" w:pos="9026"/>
              <w:tab w:val="right" w:pos="9025" w:leader="dot"/>
            </w:tabs>
            <w:rPr/>
          </w:pPr>
          <w:hyperlink w:anchor="__RefHeading___Toc2242_292324530" w:tooltip="12 Migration von µCSS">
            <w:r>
              <w:rPr>
                <w:rStyle w:val="Verzeichnissprung"/>
              </w:rPr>
              <w:t>12 Migration von µCSS</w:t>
              <w:tab/>
              <w:t>26</w:t>
            </w:r>
          </w:hyperlink>
        </w:p>
        <w:p>
          <w:pPr>
            <w:pStyle w:val="TOC1"/>
            <w:tabs>
              <w:tab w:val="clear" w:pos="9026"/>
              <w:tab w:val="right" w:pos="9025" w:leader="dot"/>
            </w:tabs>
            <w:rPr/>
          </w:pPr>
          <w:hyperlink w:anchor="__RefHeading___Toc2244_292324530" w:tooltip="13 Versionshistorie">
            <w:r>
              <w:rPr>
                <w:rStyle w:val="Verzeichnissprung"/>
              </w:rPr>
              <w:t>13 Versionshistorie</w:t>
              <w:tab/>
              <w:t>27</w:t>
            </w:r>
          </w:hyperlink>
        </w:p>
        <w:p>
          <w:pPr>
            <w:pStyle w:val="TOC1"/>
            <w:tabs>
              <w:tab w:val="clear" w:pos="9026"/>
              <w:tab w:val="right" w:pos="9025" w:leader="dot"/>
            </w:tabs>
            <w:rPr/>
          </w:pPr>
          <w:hyperlink w:anchor="__RefHeading___Toc2246_292324530" w:tooltip="14 Rechtliches">
            <w:r>
              <w:rPr>
                <w:rStyle w:val="Verzeichnissprung"/>
              </w:rPr>
              <w:t>14 Rechtliches</w:t>
              <w:tab/>
              <w:t>29</w:t>
            </w:r>
          </w:hyperlink>
        </w:p>
        <w:p>
          <w:pPr>
            <w:pStyle w:val="TOC2"/>
            <w:tabs>
              <w:tab w:val="clear" w:pos="8743"/>
              <w:tab w:val="right" w:pos="9025" w:leader="dot"/>
            </w:tabs>
            <w:rPr/>
          </w:pPr>
          <w:hyperlink w:anchor="__RefHeading___Toc2248_292324530" w:tooltip="14.1 MIT-Lizenz (Originaltext)">
            <w:r>
              <w:rPr>
                <w:rStyle w:val="Verzeichnissprung"/>
              </w:rPr>
              <w:t>14.1 MIT-Lizenz (Originaltext)</w:t>
              <w:tab/>
              <w:t>29</w:t>
            </w:r>
          </w:hyperlink>
        </w:p>
        <w:p>
          <w:pPr>
            <w:pStyle w:val="TOC2"/>
            <w:tabs>
              <w:tab w:val="clear" w:pos="8743"/>
              <w:tab w:val="right" w:pos="9025" w:leader="dot"/>
            </w:tabs>
            <w:rPr/>
          </w:pPr>
          <w:hyperlink w:anchor="__RefHeading___Toc2250_292324530" w:tooltip="14.2 Marken">
            <w:r>
              <w:rPr>
                <w:rStyle w:val="Verzeichnissprung"/>
              </w:rPr>
              <w:t>14.2 Marken</w:t>
              <w:tab/>
              <w:t>29</w:t>
            </w:r>
          </w:hyperlink>
        </w:p>
        <w:p>
          <w:pPr>
            <w:pStyle w:val="TOC2"/>
            <w:tabs>
              <w:tab w:val="clear" w:pos="8743"/>
              <w:tab w:val="right" w:pos="9025" w:leader="dot"/>
            </w:tabs>
            <w:rPr/>
          </w:pPr>
          <w:hyperlink w:anchor="__RefHeading___Toc2252_292324530" w:tooltip="14.3 Verwendete Bibliotheken">
            <w:r>
              <w:rPr>
                <w:rStyle w:val="Verzeichnissprung"/>
              </w:rPr>
              <w:t>14.3 Verwendete Bibliotheken</w:t>
              <w:tab/>
              <w:t>29</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2144_292324530"/>
      <w:bookmarkEnd w:id="0"/>
      <w:r>
        <w:rPr/>
        <w:t>1 Einführung</w:t>
      </w:r>
    </w:p>
    <w:p>
      <w:pPr>
        <w:pStyle w:val="Normal"/>
        <w:spacing w:before="0" w:after="120"/>
        <w:jc w:val="both"/>
        <w:rPr/>
      </w:pPr>
      <w:r>
        <w:rPr/>
        <w:t>µCSS ist ein Node-Modul zur Verarbeitung von CSS-Dateien und zur Generierung von Web-Grafiken. Dieses Handbuch beschreibt die Version 2 — den Node-basierten Nachfolger des 2013 eingeführten, Adobe-Photoshop-basierten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Die Bilderzeugung übernimmt das Schwester-Modul µPS, das die alten PS-Plugins ohne Adobe-Abhängigkeit nachbildet.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Im Gegensatz zu µCSS 1 läuft Version 2 vollständig in Node.js (ab Version 18) und benötigt weder Photoshop noch andere Adobe-Produkte. Die Build-Steuerung erfolgt über Gulp oder direkt über die Node-API.</w:t>
      </w:r>
    </w:p>
    <w:p>
      <w:pPr>
        <w:pStyle w:val="Heading2"/>
        <w:numPr>
          <w:ilvl w:val="0"/>
          <w:numId w:val="0"/>
        </w:numPr>
        <w:spacing w:before="240" w:after="120"/>
        <w:outlineLvl w:val="1"/>
        <w:rPr/>
      </w:pPr>
      <w:bookmarkStart w:id="1" w:name="__RefHeading___Toc2146_292324530"/>
      <w:bookmarkEnd w:id="1"/>
      <w:r>
        <w:rPr/>
        <w:t>1.1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2" w:name="__RefHeading___Toc2148_292324530"/>
      <w:bookmarkEnd w:id="2"/>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3" w:name="__RefHeading___Toc2150_292324530"/>
      <w:bookmarkEnd w:id="3"/>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4" w:name="__RefHeading___Toc2152_292324530"/>
      <w:bookmarkEnd w:id="4"/>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5" w:name="__RefHeading___Toc2154_292324530"/>
      <w:bookmarkEnd w:id="5"/>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6" w:name="__RefHeading___Toc2156_292324530"/>
      <w:bookmarkEnd w:id="6"/>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7" w:name="__RefHeading___Toc2158_292324530"/>
      <w:bookmarkEnd w:id="7"/>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8" w:name="__RefHeading___Toc2160_292324530"/>
      <w:bookmarkEnd w:id="8"/>
      <w:r>
        <w:rPr/>
        <w:t>3.5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9" w:name="__RefHeading___Toc2162_292324530"/>
      <w:bookmarkEnd w:id="9"/>
      <w:r>
        <w:rPr/>
        <w:t>3.6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0" w:name="__RefHeading___Toc2164_292324530"/>
      <w:bookmarkEnd w:id="10"/>
      <w:r>
        <w:rPr/>
        <w:t>3.7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-Varianten — der Nachfolger des ButtonCreator-Plugins. Die Fülloptionen (Schlagschatten, Verläufe, Schein usw.) werden von microPS nachgebildet.</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Die Details der Bildgeneratoren (Ebenenstruktur der Entwürfe, DSD-Format, Profile) beschreibt die µPS-Dokumentation.</w:t>
      </w:r>
    </w:p>
    <w:p>
      <w:pPr>
        <w:pStyle w:val="Heading3"/>
        <w:numPr>
          <w:ilvl w:val="0"/>
          <w:numId w:val="0"/>
        </w:numPr>
        <w:spacing w:before="240" w:after="120"/>
        <w:outlineLvl w:val="2"/>
        <w:rPr/>
      </w:pPr>
      <w:bookmarkStart w:id="11" w:name="__RefHeading___Toc2166_292324530"/>
      <w:bookmarkEnd w:id="11"/>
      <w:r>
        <w:rPr/>
        <w:t>3.7.1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inkrementelle Build: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12" w:name="__RefHeading___Toc2168_292324530"/>
      <w:bookmarkEnd w:id="12"/>
      <w:r>
        <w:rPr/>
        <w:t>4 Vue und Komponenten-Co-Location</w:t>
      </w:r>
    </w:p>
    <w:p>
      <w:pPr>
        <w:pStyle w:val="Normal"/>
        <w:spacing w:before="0" w:after="120"/>
        <w:jc w:val="both"/>
        <w:rPr/>
      </w:pPr>
      <w:r>
        <w:rPr/>
        <w:t xml:space="preserve">Komponenten-Frameworks wie Vue halten Styles üblicherweise in </w:t>
      </w:r>
      <w:r>
        <w:rPr>
          <w:rFonts w:eastAsia="Consolas" w:cs="Consolas" w:ascii="Consolas" w:hAnsi="Consolas"/>
          <w:sz w:val="18"/>
          <w:szCs w:val="18"/>
          <w:shd w:fill="F2F2F2" w:val="clear"/>
        </w:rPr>
        <w:t>&lt;style scoped&gt;</w:t>
      </w:r>
      <w:r>
        <w:rPr/>
        <w:t xml:space="preserve"> innerhalb der </w:t>
      </w:r>
      <w:r>
        <w:rPr>
          <w:rFonts w:eastAsia="Consolas" w:cs="Consolas" w:ascii="Consolas" w:hAnsi="Consolas"/>
          <w:sz w:val="18"/>
          <w:szCs w:val="18"/>
          <w:shd w:fill="F2F2F2" w:val="clear"/>
        </w:rPr>
        <w:t>.vue</w:t>
      </w:r>
      <w:r>
        <w:rPr/>
        <w:t xml:space="preserve">-Datei. Das funktioniert, aber jede Komponente bekommt eigene </w:t>
      </w:r>
      <w:r>
        <w:rPr>
          <w:rFonts w:eastAsia="Consolas" w:cs="Consolas" w:ascii="Consolas" w:hAnsi="Consolas"/>
          <w:sz w:val="18"/>
          <w:szCs w:val="18"/>
          <w:shd w:fill="F2F2F2" w:val="clear"/>
        </w:rPr>
        <w:t>data-v-…</w:t>
      </w:r>
      <w:r>
        <w:rPr/>
        <w:t>-Attribute, das CSS wächst schnell und Live-Bearbeitung in den Browser-DevTools wird über viele Scoped-Blöcke hinweg unhandlich.</w:t>
      </w:r>
    </w:p>
    <w:p>
      <w:pPr>
        <w:pStyle w:val="Normal"/>
        <w:spacing w:before="0" w:after="120"/>
        <w:jc w:val="both"/>
        <w:rPr/>
      </w:pPr>
      <w:r>
        <w:rPr/>
        <w:t xml:space="preserve">µCSS verfolgt einen anderen Ansatz: </w:t>
      </w:r>
      <w:r>
        <w:rPr>
          <w:b/>
          <w:bCs/>
        </w:rPr>
        <w:t>Co-Location ohne Vue-Verarbeitung der Styles</w:t>
      </w:r>
      <w:r>
        <w:rPr/>
        <w:t xml:space="preserve">. Jede Komponente behält eine Style-Datei </w:t>
      </w:r>
      <w:r>
        <w:rPr>
          <w:b/>
          <w:bCs/>
        </w:rPr>
        <w:t>neben</w:t>
      </w:r>
      <w:r>
        <w:rPr/>
        <w:t xml:space="preserve"> ihrer </w:t>
      </w:r>
      <w:r>
        <w:rPr>
          <w:rFonts w:eastAsia="Consolas" w:cs="Consolas" w:ascii="Consolas" w:hAnsi="Consolas"/>
          <w:sz w:val="18"/>
          <w:szCs w:val="18"/>
          <w:shd w:fill="F2F2F2" w:val="clear"/>
        </w:rPr>
        <w:t>.vue</w:t>
      </w:r>
      <w:r>
        <w:rPr/>
        <w:t xml:space="preserve">-Datei, aber mit einer privaten Endung wie </w:t>
      </w:r>
      <w:r>
        <w:rPr>
          <w:rFonts w:eastAsia="Consolas" w:cs="Consolas" w:ascii="Consolas" w:hAnsi="Consolas"/>
          <w:sz w:val="18"/>
          <w:szCs w:val="18"/>
          <w:shd w:fill="F2F2F2" w:val="clear"/>
        </w:rPr>
        <w:t>*.π.css</w:t>
      </w:r>
      <w:r>
        <w:rPr/>
        <w:t xml:space="preserve"> (griechisches Pi — Vite und Vue ignorieren sie). Ein Haupt-Stylesheet sammelt alles zur Build-Zeit ein; µCSS bündelt daraus eine einzige, statische CSS-Datei.</w:t>
      </w:r>
    </w:p>
    <w:p>
      <w:pPr>
        <w:pStyle w:val="Heading2"/>
        <w:numPr>
          <w:ilvl w:val="0"/>
          <w:numId w:val="0"/>
        </w:numPr>
        <w:spacing w:before="240" w:after="120"/>
        <w:outlineLvl w:val="1"/>
        <w:rPr/>
      </w:pPr>
      <w:bookmarkStart w:id="13" w:name="__RefHeading___Toc2170_292324530"/>
      <w:bookmarkEnd w:id="13"/>
      <w:r>
        <w:rPr/>
        <w:t>4.1 Ablauf</w:t>
      </w:r>
    </w:p>
    <w:p>
      <w:pPr>
        <w:pStyle w:val="Normal"/>
        <w:spacing w:before="0" w:after="60"/>
        <w:ind w:start="360"/>
        <w:rPr/>
      </w:pPr>
      <w:r>
        <w:rPr>
          <w:b/>
          <w:bCs/>
        </w:rPr>
        <w:t xml:space="preserve">1. </w:t>
      </w:r>
      <w:r>
        <w:rPr/>
        <w:t xml:space="preserve">Komponenten-Styles in </w:t>
      </w:r>
      <w:r>
        <w:rPr>
          <w:rFonts w:eastAsia="Consolas" w:cs="Consolas" w:ascii="Consolas" w:hAnsi="Consolas"/>
          <w:sz w:val="18"/>
          <w:szCs w:val="18"/>
          <w:shd w:fill="F2F2F2" w:val="clear"/>
        </w:rPr>
        <w:t>MyButton.π.css</w:t>
      </w:r>
      <w:r>
        <w:rPr/>
        <w:t xml:space="preserve"> neben </w:t>
      </w:r>
      <w:r>
        <w:rPr>
          <w:rFonts w:eastAsia="Consolas" w:cs="Consolas" w:ascii="Consolas" w:hAnsi="Consolas"/>
          <w:sz w:val="18"/>
          <w:szCs w:val="18"/>
          <w:shd w:fill="F2F2F2" w:val="clear"/>
        </w:rPr>
        <w:t>MyButton.vue</w:t>
      </w:r>
      <w:r>
        <w:rPr/>
        <w:t xml:space="preserve"> ablegen.</w:t>
      </w:r>
    </w:p>
    <w:p>
      <w:pPr>
        <w:pStyle w:val="Normal"/>
        <w:spacing w:before="0" w:after="60"/>
        <w:ind w:start="360"/>
        <w:rPr/>
      </w:pPr>
      <w:r>
        <w:rPr>
          <w:b/>
          <w:bCs/>
        </w:rPr>
        <w:t xml:space="preserve">2. </w:t>
      </w:r>
      <w:r>
        <w:rPr/>
        <w:t xml:space="preserve">Im Haupteinstieg (z. B. </w:t>
      </w:r>
      <w:r>
        <w:rPr>
          <w:rFonts w:eastAsia="Consolas" w:cs="Consolas" w:ascii="Consolas" w:hAnsi="Consolas"/>
          <w:sz w:val="18"/>
          <w:szCs w:val="18"/>
          <w:shd w:fill="F2F2F2" w:val="clear"/>
        </w:rPr>
        <w:t>main.µ.css</w:t>
      </w:r>
      <w:r>
        <w:rPr/>
        <w:t>) per Build-Time-Import einsammeln:</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Regel-Merge im Manifest aktivieren, wenn viele Komponenten dieselben Selektoren nutzen (z. B.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Im Vue-Template </w:t>
      </w:r>
      <w:r>
        <w:rPr>
          <w:b/>
          <w:bCs/>
        </w:rPr>
        <w:t>normale Klassennamen</w:t>
      </w:r>
      <w:r>
        <w:rPr/>
        <w:t xml:space="preserve"> verwenden — kein </w:t>
      </w:r>
      <w:r>
        <w:rPr>
          <w:rFonts w:eastAsia="Consolas" w:cs="Consolas" w:ascii="Consolas" w:hAnsi="Consolas"/>
          <w:sz w:val="18"/>
          <w:szCs w:val="18"/>
          <w:shd w:fill="F2F2F2" w:val="clear"/>
        </w:rPr>
        <w:t>&lt;style scoped&gt;</w:t>
      </w:r>
      <w:r>
        <w:rPr/>
        <w:t xml:space="preserve">, kein </w:t>
      </w:r>
      <w:r>
        <w:rPr>
          <w:rFonts w:eastAsia="Consolas" w:cs="Consolas" w:ascii="Consolas" w:hAnsi="Consolas"/>
          <w:sz w:val="18"/>
          <w:szCs w:val="18"/>
          <w:shd w:fill="F2F2F2" w:val="clear"/>
        </w:rPr>
        <w:t>data-v-…</w:t>
      </w:r>
      <w:r>
        <w:rPr/>
        <w:t>. Der Browser lädt eine echte CSS-Datei; die DevTools bleiben voll nutzbar.</w:t>
      </w:r>
    </w:p>
    <w:p>
      <w:pPr>
        <w:pStyle w:val="Heading2"/>
        <w:numPr>
          <w:ilvl w:val="0"/>
          <w:numId w:val="0"/>
        </w:numPr>
        <w:spacing w:before="240" w:after="120"/>
        <w:outlineLvl w:val="1"/>
        <w:rPr/>
      </w:pPr>
      <w:bookmarkStart w:id="14" w:name="__RefHeading___Toc2172_292324530"/>
      <w:bookmarkEnd w:id="14"/>
      <w:r>
        <w:rPr/>
        <w:t>4.2 Namespaces und globale State-Klassen</w:t>
      </w:r>
    </w:p>
    <w:p>
      <w:pPr>
        <w:pStyle w:val="Normal"/>
        <w:spacing w:before="0" w:after="120"/>
        <w:jc w:val="both"/>
        <w:rPr/>
      </w:pPr>
      <w:r>
        <w:rPr/>
        <w:t xml:space="preserve">Wenn zwei Komponenten </w:t>
      </w:r>
      <w:r>
        <w:rPr>
          <w:rFonts w:eastAsia="Consolas" w:cs="Consolas" w:ascii="Consolas" w:hAnsi="Consolas"/>
          <w:sz w:val="18"/>
          <w:szCs w:val="18"/>
          <w:shd w:fill="F2F2F2" w:val="clear"/>
        </w:rPr>
        <w:t>.card</w:t>
      </w:r>
      <w:r>
        <w:rPr/>
        <w:t xml:space="preserve"> definieren, Merge aktivieren (oben) oder Kollisionen mit </w:t>
      </w:r>
      <w:r>
        <w:rPr>
          <w:rFonts w:eastAsia="Consolas" w:cs="Consolas" w:ascii="Consolas" w:hAnsi="Consolas"/>
          <w:sz w:val="18"/>
          <w:szCs w:val="18"/>
          <w:shd w:fill="F2F2F2" w:val="clear"/>
        </w:rPr>
        <w:t>@µ-namespace</w:t>
      </w:r>
      <w:r>
        <w:rPr/>
        <w:t xml:space="preserve"> pro Komponentendatei vermeiden:</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Nur Klassen dieser Datei werden präfixiert (</w:t>
      </w:r>
      <w:r>
        <w:rPr>
          <w:rFonts w:eastAsia="Consolas" w:cs="Consolas" w:ascii="Consolas" w:hAnsi="Consolas"/>
          <w:sz w:val="18"/>
          <w:szCs w:val="18"/>
          <w:shd w:fill="F2F2F2" w:val="clear"/>
        </w:rPr>
        <w:t>.MyButton-btn</w:t>
      </w:r>
      <w:r>
        <w:rPr/>
        <w:t>). Von JavaScript gesetzte State-Klassen (</w:t>
      </w:r>
      <w:r>
        <w:rPr>
          <w:rFonts w:eastAsia="Consolas" w:cs="Consolas" w:ascii="Consolas" w:hAnsi="Consolas"/>
          <w:sz w:val="18"/>
          <w:szCs w:val="18"/>
          <w:shd w:fill="F2F2F2" w:val="clear"/>
        </w:rPr>
        <w:t>.is-active</w:t>
      </w:r>
      <w:r>
        <w:rPr/>
        <w:t xml:space="preserve">, geteilte Utilities) bleiben über </w:t>
      </w:r>
      <w:r>
        <w:rPr>
          <w:rFonts w:eastAsia="Consolas" w:cs="Consolas" w:ascii="Consolas" w:hAnsi="Consolas"/>
          <w:sz w:val="18"/>
          <w:szCs w:val="18"/>
          <w:shd w:fill="F2F2F2" w:val="clear"/>
        </w:rPr>
        <w:t>:global(...)</w:t>
      </w:r>
      <w:r>
        <w:rPr/>
        <w:t xml:space="preserve"> global.</w:t>
      </w:r>
    </w:p>
    <w:p>
      <w:pPr>
        <w:pStyle w:val="Heading2"/>
        <w:numPr>
          <w:ilvl w:val="0"/>
          <w:numId w:val="0"/>
        </w:numPr>
        <w:spacing w:before="240" w:after="120"/>
        <w:outlineLvl w:val="1"/>
        <w:rPr/>
      </w:pPr>
      <w:bookmarkStart w:id="15" w:name="__RefHeading___Toc2174_292324530"/>
      <w:bookmarkEnd w:id="15"/>
      <w:r>
        <w:rPr/>
        <w:t>4.3 Bestehende Vue-SFCs migrieren</w:t>
      </w:r>
    </w:p>
    <w:p>
      <w:pPr>
        <w:pStyle w:val="Normal"/>
        <w:spacing w:before="0" w:after="120"/>
        <w:jc w:val="both"/>
        <w:rPr/>
      </w:pPr>
      <w:r>
        <w:rPr/>
        <w:t xml:space="preserve">Im Repository gibt es eine Migrationshilfe analog zum LESS-Konverter. Sie extrahiert </w:t>
      </w:r>
      <w:r>
        <w:rPr>
          <w:rFonts w:eastAsia="Consolas" w:cs="Consolas" w:ascii="Consolas" w:hAnsi="Consolas"/>
          <w:sz w:val="18"/>
          <w:szCs w:val="18"/>
          <w:shd w:fill="F2F2F2" w:val="clear"/>
        </w:rPr>
        <w:t>&lt;style&gt;</w:t>
      </w:r>
      <w:r>
        <w:rPr/>
        <w:t xml:space="preserve">-Blöcke aus </w:t>
      </w:r>
      <w:r>
        <w:rPr>
          <w:rFonts w:eastAsia="Consolas" w:cs="Consolas" w:ascii="Consolas" w:hAnsi="Consolas"/>
          <w:sz w:val="18"/>
          <w:szCs w:val="18"/>
          <w:shd w:fill="F2F2F2" w:val="clear"/>
        </w:rPr>
        <w:t>.vue</w:t>
      </w:r>
      <w:r>
        <w:rPr/>
        <w:t xml:space="preserve">-Dateien, schreibt die Sidecar-Datei </w:t>
      </w:r>
      <w:r>
        <w:rPr>
          <w:rFonts w:eastAsia="Consolas" w:cs="Consolas" w:ascii="Consolas" w:hAnsi="Consolas"/>
          <w:sz w:val="18"/>
          <w:szCs w:val="18"/>
          <w:shd w:fill="F2F2F2" w:val="clear"/>
        </w:rPr>
        <w:t>ComponentName.π.css</w:t>
      </w:r>
      <w:r>
        <w:rPr/>
        <w:t xml:space="preserve">, setzt </w:t>
      </w:r>
      <w:r>
        <w:rPr>
          <w:rFonts w:eastAsia="Consolas" w:cs="Consolas" w:ascii="Consolas" w:hAnsi="Consolas"/>
          <w:sz w:val="18"/>
          <w:szCs w:val="18"/>
          <w:shd w:fill="F2F2F2" w:val="clear"/>
        </w:rPr>
        <w:t>@µ-namespace</w:t>
      </w:r>
      <w:r>
        <w:rPr/>
        <w:t>, entfernt Scoped-</w:t>
      </w:r>
      <w:r>
        <w:rPr>
          <w:rFonts w:eastAsia="Consolas" w:cs="Consolas" w:ascii="Consolas" w:hAnsi="Consolas"/>
          <w:sz w:val="18"/>
          <w:szCs w:val="18"/>
          <w:shd w:fill="F2F2F2" w:val="clear"/>
        </w:rPr>
        <w:t>[data-v-…]</w:t>
      </w:r>
      <w:r>
        <w:rPr/>
        <w:t xml:space="preserve">-Selektoren und löscht den </w:t>
      </w:r>
      <w:r>
        <w:rPr>
          <w:rFonts w:eastAsia="Consolas" w:cs="Consolas" w:ascii="Consolas" w:hAnsi="Consolas"/>
          <w:sz w:val="18"/>
          <w:szCs w:val="18"/>
          <w:shd w:fill="F2F2F2" w:val="clear"/>
        </w:rPr>
        <w:t>&lt;style&gt;</w:t>
      </w:r>
      <w:r>
        <w:rPr/>
        <w:t>-Block aus der SFC (ein HTML-Kommentar verweist auf die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oder: VUE_IN=gulp-mu-css/examples/vue VUE_OUT=out npx gulp convert:vue</w:t>
      </w:r>
    </w:p>
    <w:p>
      <w:pPr>
        <w:pStyle w:val="Normal"/>
        <w:spacing w:before="0" w:after="120"/>
        <w:jc w:val="both"/>
        <w:rPr/>
      </w:pPr>
      <w:r>
        <w:rPr/>
        <w:t xml:space="preserve">Beispielquellen liegen unter </w:t>
      </w:r>
      <w:r>
        <w:rPr>
          <w:rFonts w:eastAsia="Consolas" w:cs="Consolas" w:ascii="Consolas" w:hAnsi="Consolas"/>
          <w:sz w:val="18"/>
          <w:szCs w:val="18"/>
          <w:shd w:fill="F2F2F2" w:val="clear"/>
        </w:rPr>
        <w:t>gulp-mu-css/examples/vue/</w:t>
      </w:r>
      <w:r>
        <w:rPr/>
        <w:t xml:space="preserve">. Das Tool schreibt zusätzlich </w:t>
      </w:r>
      <w:r>
        <w:rPr>
          <w:rFonts w:eastAsia="Consolas" w:cs="Consolas" w:ascii="Consolas" w:hAnsi="Consolas"/>
          <w:sz w:val="18"/>
          <w:szCs w:val="18"/>
          <w:shd w:fill="F2F2F2" w:val="clear"/>
        </w:rPr>
        <w:t>main.µ.css</w:t>
      </w:r>
      <w:r>
        <w:rPr/>
        <w:t xml:space="preserve"> mit </w:t>
      </w:r>
      <w:r>
        <w:rPr>
          <w:rFonts w:eastAsia="Consolas" w:cs="Consolas" w:ascii="Consolas" w:hAnsi="Consolas"/>
          <w:sz w:val="18"/>
          <w:szCs w:val="18"/>
          <w:shd w:fill="F2F2F2" w:val="clear"/>
        </w:rPr>
        <w:t>@import "**/*.π.css";</w:t>
      </w:r>
      <w:r>
        <w:rPr/>
        <w:t xml:space="preserve"> und ein Manifest-Skelett inkl. </w:t>
      </w:r>
      <w:r>
        <w:rPr>
          <w:rFonts w:eastAsia="Consolas" w:cs="Consolas" w:ascii="Consolas" w:hAnsi="Consolas"/>
          <w:sz w:val="18"/>
          <w:szCs w:val="18"/>
          <w:shd w:fill="F2F2F2" w:val="clear"/>
        </w:rPr>
        <w:t>merge.onConflict: "error"</w:t>
      </w:r>
      <w:r>
        <w:rPr/>
        <w:t xml:space="preserve">. Warnungen vor dem Einsatz prüfen — </w:t>
      </w:r>
      <w:r>
        <w:rPr>
          <w:rFonts w:eastAsia="Consolas" w:cs="Consolas" w:ascii="Consolas" w:hAnsi="Consolas"/>
          <w:sz w:val="18"/>
          <w:szCs w:val="18"/>
          <w:shd w:fill="F2F2F2" w:val="clear"/>
        </w:rPr>
        <w:t>lang="scss"</w:t>
      </w:r>
      <w:r>
        <w:rPr/>
        <w:t xml:space="preserve">, CSS Modules und </w:t>
      </w:r>
      <w:r>
        <w:rPr>
          <w:rFonts w:eastAsia="Consolas" w:cs="Consolas" w:ascii="Consolas" w:hAnsi="Consolas"/>
          <w:sz w:val="18"/>
          <w:szCs w:val="18"/>
          <w:shd w:fill="F2F2F2" w:val="clear"/>
        </w:rPr>
        <w:t>v-bind()</w:t>
      </w:r>
      <w:r>
        <w:rPr/>
        <w:t xml:space="preserve"> in CSS erfordern manuelle Nacharbeit; </w:t>
      </w:r>
      <w:r>
        <w:rPr>
          <w:rFonts w:eastAsia="Consolas" w:cs="Consolas" w:ascii="Consolas" w:hAnsi="Consolas"/>
          <w:sz w:val="18"/>
          <w:szCs w:val="18"/>
          <w:shd w:fill="F2F2F2" w:val="clear"/>
        </w:rPr>
        <w:t>lang="less"</w:t>
      </w:r>
      <w:r>
        <w:rPr/>
        <w:t xml:space="preserve"> wird zuerst durch den LESS-Konverter geleitet.</w:t>
      </w:r>
      <w:r>
        <w:br w:type="page"/>
      </w:r>
    </w:p>
    <w:p>
      <w:pPr>
        <w:pStyle w:val="Heading1"/>
        <w:numPr>
          <w:ilvl w:val="0"/>
          <w:numId w:val="0"/>
        </w:numPr>
        <w:spacing w:before="0" w:after="120"/>
        <w:outlineLvl w:val="0"/>
        <w:rPr/>
      </w:pPr>
      <w:bookmarkStart w:id="16" w:name="__RefHeading___Toc2176_292324530"/>
      <w:bookmarkEnd w:id="16"/>
      <w:r>
        <w:rPr/>
        <w:t>5 Grundideen von µCSS</w:t>
      </w:r>
    </w:p>
    <w:p>
      <w:pPr>
        <w:pStyle w:val="Heading2"/>
        <w:numPr>
          <w:ilvl w:val="0"/>
          <w:numId w:val="0"/>
        </w:numPr>
        <w:spacing w:before="240" w:after="120"/>
        <w:outlineLvl w:val="1"/>
        <w:rPr/>
      </w:pPr>
      <w:bookmarkStart w:id="17" w:name="__RefHeading___Toc2178_292324530"/>
      <w:bookmarkEnd w:id="17"/>
      <w:r>
        <w:rPr/>
        <w:t>5.1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18" w:name="__RefHeading___Toc2180_292324530"/>
      <w:bookmarkEnd w:id="18"/>
      <w:r>
        <w:rPr/>
        <w:t>5.2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19" w:name="__RefHeading___Toc2182_292324530"/>
      <w:bookmarkEnd w:id="19"/>
      <w:r>
        <w:rPr/>
        <w:t>5.3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Sprite("imgs/logos/dosing_logo.png");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20" w:name="__RefHeading___Toc2184_292324530"/>
      <w:bookmarkEnd w:id="20"/>
      <w:r>
        <w:rPr/>
        <w:t>5.4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21" w:name="__RefHeading___Toc2186_292324530"/>
      <w:bookmarkEnd w:id="21"/>
      <w:r>
        <w:rPr/>
        <w:t>5.5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22" w:name="__RefHeading___Toc2188_292324530"/>
      <w:bookmarkEnd w:id="22"/>
      <w:r>
        <w:rPr/>
        <w:t>6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23" w:name="__RefHeading___Toc2190_292324530"/>
      <w:bookmarkEnd w:id="23"/>
      <w:r>
        <w:rPr/>
        <w:t>6.1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24" w:name="__RefHeading___Toc2192_292324530"/>
      <w:bookmarkEnd w:id="24"/>
      <w:r>
        <w:rPr/>
        <w:t>6.2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-Aufrufe registrieren zunächst nur ihre Bildreferenzen.</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Die kompilierten CSS-Dateien werden in das Skin-Verzeichnis geschrieben, der Cache wird gespeichert.</w:t>
      </w:r>
    </w:p>
    <w:p>
      <w:pPr>
        <w:pStyle w:val="Heading2"/>
        <w:numPr>
          <w:ilvl w:val="0"/>
          <w:numId w:val="0"/>
        </w:numPr>
        <w:spacing w:before="240" w:after="120"/>
        <w:outlineLvl w:val="1"/>
        <w:rPr/>
      </w:pPr>
      <w:bookmarkStart w:id="25" w:name="__RefHeading___Toc2194_292324530"/>
      <w:bookmarkEnd w:id="25"/>
      <w:r>
        <w:rPr/>
        <w:t>6.3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26" w:name="__RefHeading___Toc2196_292324530"/>
      <w:bookmarkEnd w:id="26"/>
      <w:r>
        <w:rPr/>
        <w:t>6.4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27" w:name="__RefHeading___Toc2198_292324530"/>
      <w:bookmarkEnd w:id="27"/>
      <w:r>
        <w:rPr/>
        <w:t>7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28" w:name="__RefHeading___Toc2200_292324530"/>
      <w:bookmarkEnd w:id="28"/>
      <w:r>
        <w:rPr/>
        <w:t>7.1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29" w:name="__RefHeading___Toc2202_292324530"/>
      <w:bookmarkEnd w:id="29"/>
      <w:r>
        <w:rPr/>
        <w:t>7.2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Heading2"/>
        <w:numPr>
          <w:ilvl w:val="0"/>
          <w:numId w:val="0"/>
        </w:numPr>
        <w:spacing w:before="240" w:after="120"/>
        <w:outlineLvl w:val="1"/>
        <w:rPr/>
      </w:pPr>
      <w:bookmarkStart w:id="30" w:name="__RefHeading___Toc2204_292324530"/>
      <w:bookmarkEnd w:id="30"/>
      <w:r>
        <w:rPr/>
        <w:t>7.3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31" w:name="__RefHeading___Toc2206_292324530"/>
      <w:bookmarkEnd w:id="31"/>
      <w:r>
        <w:rPr/>
        <w:t>7.4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32" w:name="__RefHeading___Toc2208_292324530"/>
      <w:bookmarkEnd w:id="32"/>
      <w:r>
        <w:rPr/>
        <w:t>7.5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33" w:name="__RefHeading___Toc2210_292324530"/>
      <w:bookmarkEnd w:id="33"/>
      <w:r>
        <w:rPr/>
        <w:t>7.6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34" w:name="__RefHeading___Toc2212_292324530"/>
      <w:bookmarkEnd w:id="34"/>
      <w:r>
        <w:rPr/>
        <w:t>7.7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35" w:name="__RefHeading___Toc2214_292324530"/>
      <w:bookmarkEnd w:id="35"/>
      <w:r>
        <w:rPr/>
        <w:t>8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36" w:name="__RefHeading___Toc2216_292324530"/>
      <w:bookmarkEnd w:id="36"/>
      <w:r>
        <w:rPr/>
        <w:t>8.1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37" w:name="__RefHeading___Toc2218_292324530"/>
      <w:bookmarkEnd w:id="37"/>
      <w:r>
        <w:rPr/>
        <w:t>8.2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38" w:name="__RefHeading___Toc2220_292324530"/>
      <w:bookmarkEnd w:id="38"/>
      <w:r>
        <w:rPr/>
        <w:t>8.3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39" w:name="__RefHeading___Toc2222_292324530"/>
      <w:bookmarkEnd w:id="39"/>
      <w:r>
        <w:rPr/>
        <w:t>8.4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40" w:name="__RefHeading___Toc2224_292324530"/>
      <w:bookmarkEnd w:id="40"/>
      <w:r>
        <w:rPr/>
        <w:t>8.5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41" w:name="__RefHeading___Toc2226_292324530"/>
      <w:bookmarkEnd w:id="41"/>
      <w:r>
        <w:rPr/>
        <w:t>8.6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des AiDPix-Projekts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test/fixtures/aidpix-helpers.mjs</w:t>
      </w:r>
      <w:r>
        <w:rPr/>
        <w:t>.</w:t>
      </w:r>
    </w:p>
    <w:p>
      <w:pPr>
        <w:pStyle w:val="Heading2"/>
        <w:numPr>
          <w:ilvl w:val="0"/>
          <w:numId w:val="0"/>
        </w:numPr>
        <w:spacing w:before="240" w:after="120"/>
        <w:outlineLvl w:val="1"/>
        <w:rPr/>
      </w:pPr>
      <w:bookmarkStart w:id="42" w:name="__RefHeading___Toc2228_292324530"/>
      <w:bookmarkEnd w:id="42"/>
      <w:r>
        <w:rPr/>
        <w:t>8.7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43" w:name="__RefHeading___Toc2230_292324530"/>
      <w:bookmarkEnd w:id="43"/>
      <w:r>
        <w:rPr/>
        <w:t>9 Arbeiten mit Farben</w:t>
      </w:r>
    </w:p>
    <w:p>
      <w:pPr>
        <w:pStyle w:val="Heading2"/>
        <w:numPr>
          <w:ilvl w:val="0"/>
          <w:numId w:val="0"/>
        </w:numPr>
        <w:spacing w:before="240" w:after="120"/>
        <w:outlineLvl w:val="1"/>
        <w:rPr/>
      </w:pPr>
      <w:bookmarkStart w:id="44" w:name="__RefHeading___Toc2232_292324530"/>
      <w:bookmarkEnd w:id="44"/>
      <w:r>
        <w:rPr/>
        <w:t>9.1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45" w:name="__RefHeading___Toc2234_292324530"/>
      <w:bookmarkEnd w:id="45"/>
      <w:r>
        <w:rPr/>
        <w:t>9.2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46" w:name="__RefHeading___Toc2236_292324530"/>
      <w:bookmarkEnd w:id="46"/>
      <w:r>
        <w:rPr/>
        <w:t>9.3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47" w:name="__RefHeading___Toc2238_292324530"/>
      <w:bookmarkEnd w:id="47"/>
      <w:r>
        <w:rPr/>
        <w:t>10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48" w:name="__RefHeading___Toc2240_292324530"/>
      <w:bookmarkEnd w:id="48"/>
      <w:r>
        <w:rPr/>
        <w:t>11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49" w:name="__RefHeading___Toc2242_292324530"/>
      <w:bookmarkEnd w:id="49"/>
      <w:r>
        <w:rPr/>
        <w:t>12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am vollständigen AiDPix-Bestand validiert: Ein Vergleichswerkzeug (</w:t>
      </w:r>
      <w:r>
        <w:rPr>
          <w:rFonts w:eastAsia="Consolas" w:cs="Consolas" w:ascii="Consolas" w:hAnsi="Consolas"/>
          <w:sz w:val="18"/>
          <w:szCs w:val="18"/>
          <w:shd w:fill="F2F2F2" w:val="clear"/>
        </w:rPr>
        <w:t>tools/compare-aidpix.mjs</w:t>
      </w:r>
      <w:r>
        <w:rPr/>
        <w:t>)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50" w:name="__RefHeading___Toc2244_292324530"/>
      <w:bookmarkEnd w:id="50"/>
      <w:r>
        <w:rPr/>
        <w:t>13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AiDPix-Migration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Sound-Atlas-Anbindung (</w:t>
            </w:r>
            <w:r>
              <w:rPr>
                <w:rFonts w:eastAsia="Consolas" w:cs="Consolas" w:ascii="Consolas" w:hAnsi="Consolas"/>
                <w:sz w:val="18"/>
                <w:szCs w:val="18"/>
                <w:shd w:fill="F2F2F2" w:val="clear"/>
              </w:rPr>
              <w:t>sounds</w:t>
            </w:r>
            <w:r>
              <w:rPr/>
              <w:t xml:space="preserve">-Block im Manifest über µAU); </w:t>
            </w:r>
            <w:r>
              <w:rPr>
                <w:rFonts w:eastAsia="Consolas" w:cs="Consolas" w:ascii="Consolas" w:hAnsi="Consolas"/>
                <w:sz w:val="18"/>
                <w:szCs w:val="18"/>
                <w:shd w:fill="F2F2F2" w:val="clear"/>
              </w:rPr>
              <w:t>sprites.include</w:t>
            </w:r>
            <w:r>
              <w:rPr/>
              <w:t xml:space="preserve"> für Einzelbilder/Verzeichnisse im Sprite-Atlas ohne CSS-Regel.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Build-Zeit-</w:t>
            </w:r>
            <w:r>
              <w:rPr>
                <w:rFonts w:eastAsia="Consolas" w:cs="Consolas" w:ascii="Consolas" w:hAnsi="Consolas"/>
                <w:sz w:val="18"/>
                <w:szCs w:val="18"/>
                <w:shd w:fill="F2F2F2" w:val="clear"/>
              </w:rPr>
              <w:t>@import</w:t>
            </w:r>
            <w:r>
              <w:rPr/>
              <w:t>-Bundling (Glob, rekursiv, Vue-Co-Location); opt-in Regel-Merge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Namespace-Modus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Build-Typ-/Varianten-Filter (</w:t>
            </w:r>
            <w:r>
              <w:rPr>
                <w:rFonts w:eastAsia="Consolas" w:cs="Consolas" w:ascii="Consolas" w:hAnsi="Consolas"/>
                <w:sz w:val="18"/>
                <w:szCs w:val="18"/>
                <w:shd w:fill="F2F2F2" w:val="clear"/>
              </w:rPr>
              <w:t>buildFilter</w:t>
            </w:r>
            <w:r>
              <w:rPr/>
              <w:t xml:space="preserve">, über </w:t>
            </w:r>
            <w:r>
              <w:rPr>
                <w:rFonts w:eastAsia="Consolas" w:cs="Consolas" w:ascii="Consolas" w:hAnsi="Consolas"/>
                <w:sz w:val="18"/>
                <w:szCs w:val="18"/>
                <w:shd w:fill="F2F2F2" w:val="clear"/>
              </w:rPr>
              <w:t>gulp-mu-build-filter</w:t>
            </w:r>
            <w:r>
              <w:rPr/>
              <w:t xml:space="preserve">). Handbuch: Kapitel Vue-Co-Location. Nur im Repository: Migrationshilfen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README/Paket-Metadaten: GitHub-Monorepo-Links. Neue Laufzeit-Abhängigkeiten: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bl>
    <w:p>
      <w:pPr>
        <w:pStyle w:val="Normal"/>
        <w:spacing w:before="0" w:after="60"/>
        <w:rPr/>
      </w:pPr>
      <w:r>
        <w:rPr/>
      </w:r>
      <w:r>
        <w:br w:type="page"/>
      </w:r>
    </w:p>
    <w:p>
      <w:pPr>
        <w:pStyle w:val="Heading1"/>
        <w:numPr>
          <w:ilvl w:val="0"/>
          <w:numId w:val="0"/>
        </w:numPr>
        <w:spacing w:before="0" w:after="120"/>
        <w:outlineLvl w:val="0"/>
        <w:rPr/>
      </w:pPr>
      <w:bookmarkStart w:id="51" w:name="__RefHeading___Toc2246_292324530"/>
      <w:bookmarkEnd w:id="51"/>
      <w:r>
        <w:rPr/>
        <w:t>14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52" w:name="__RefHeading___Toc2248_292324530"/>
      <w:bookmarkEnd w:id="52"/>
      <w:r>
        <w:rPr/>
        <w:t>14.1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53" w:name="__RefHeading___Toc2250_292324530"/>
      <w:bookmarkEnd w:id="53"/>
      <w:r>
        <w:rPr/>
        <w:t>14.2 Marken</w:t>
      </w:r>
    </w:p>
    <w:p>
      <w:pPr>
        <w:pStyle w:val="Normal"/>
        <w:spacing w:before="0" w:after="120"/>
        <w:jc w:val="both"/>
        <w:rPr/>
      </w:pPr>
      <w:r>
        <w:rPr/>
        <w:t>Photoshop ist eine eingetragene Marke von Adobe Inc.; Affinity Photo ist eine Marke von Serif (Europe) Ltd.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54" w:name="__RefHeading___Toc2252_292324530"/>
      <w:bookmarkEnd w:id="54"/>
      <w:r>
        <w:rPr/>
        <w:t>14.3 Verwendete Bibliotheken</w:t>
      </w:r>
    </w:p>
    <w:p>
      <w:pPr>
        <w:pStyle w:val="Normal"/>
        <w:spacing w:before="0" w:after="120"/>
        <w:jc w:val="both"/>
        <w:rPr/>
      </w:pPr>
      <w:r>
        <w:rPr/>
        <w:t>µCSS und µPS nutzen Open-Source-Bibliotheken Dritter, insbesondere PostCSS (CSS-Parser, MIT-Lizenz), sharp (Bildverarbeitung, Apache-2.0-Lizenz) und ag-psd (PSD-Leser,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16</Pages>
  <Words>679</Words>
  <Characters>5029</Characters>
  <CharactersWithSpaces>5657</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2026-06-16T11:28:09Z</dcterms:created>
  <dc:creator>microCSS build tooling</dc:creator>
  <dc:description>Handbuch zu µCSS 2 (npm-Paket gulp-mu-css), dem Node-basierten Nachfolger des Adobe-basierten µCSS 1.</dc:description>
  <dc:language>en-US</dc:language>
  <cp:lastModifiedBy/>
  <dcterms:modified xsi:type="dcterms:W3CDTF">2026-06-16T13:28:21Z</dcterms:modified>
  <cp:revision>2</cp:revision>
  <dc:subject/>
  <dc:title>µCSS Handbuch 2.3.0</dc:title>
</cp:coreProperties>
</file>