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云WE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4</w:t>
            </w:r>
            <w:r>
              <w:rPr>
                <w:rFonts w:hint="eastAsia" w:ascii="Times New Roman"/>
              </w:rPr>
              <w:t>-1</w:t>
            </w:r>
            <w:r>
              <w:rPr>
                <w:rFonts w:hint="eastAsia" w:ascii="Times New Roman"/>
                <w:lang w:val="en-US" w:eastAsia="zh-CN"/>
              </w:rPr>
              <w:t>7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/>
                <w:lang w:val="en-US" w:eastAsia="zh-CN"/>
              </w:rPr>
              <w:t>马梦媛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云WE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</w:rPr>
        <w:t>在互联网上，有许多软件上可以一起看，听歌，K歌，存在主要的问题包括：可选择的种类不够丰富，可选择机会不多，不适合朋友，家人，情侣的娱乐特点；需要花费一定的时间，跳转多个页面，开启多个后台，缺乏便利性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ind w:firstLine="42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</w:rPr>
        <w:t>互联网拥有丰富的资源市场，目前主要是个大app不具有互通性，每个app都有自己的共享功能，所以共享种类很难齐全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目前人们越来越享受互联网的便利，通过各种交友，互动游戏平台，具备了充足的娱乐意识；这些成熟app尚存在如下不足：有些共享app缺乏交友，互动的功能；有一些则产生了额外的费用（如会员）才能开启的功能；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本产品定位于：为不能见面的朋友，家人，情侣提供一起看剧，追番，上网课，一起看动画片，使虽然相隔万里的人们也可以一起做事；使人们的生活更加方便，便捷，沟通直接，互动方便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  <w:r>
        <w:rPr>
          <w:rFonts w:hint="eastAsia" w:ascii="仿宋_GB2312" w:eastAsia="仿宋_GB2312"/>
          <w:sz w:val="28"/>
          <w:szCs w:val="28"/>
        </w:rPr>
        <w:t>此方案的优点是：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支持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不同类别的用户使用，进行个性化设计；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视频来源广泛，包含的视频种类数量多，可满足用户需求；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功能可模块化配置，适应各类客户需求</w:t>
      </w:r>
      <w:r>
        <w:rPr>
          <w:rFonts w:hint="eastAsia" w:ascii="仿宋_GB2312" w:eastAsia="仿宋_GB2312"/>
          <w:sz w:val="28"/>
          <w:szCs w:val="28"/>
          <w:lang w:eastAsia="zh-CN"/>
        </w:rPr>
        <w:t>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现有竞争对手较少，市场机会大前景好；</w:t>
      </w: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月22日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月22日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研发条件局限</w:t>
      </w:r>
      <w:bookmarkStart w:id="5" w:name="_GoBack"/>
      <w:bookmarkEnd w:id="5"/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本产品定位的客户已经在使用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云WE</w:t>
      </w:r>
      <w:r>
        <w:rPr>
          <w:rFonts w:hint="eastAsia" w:ascii="仿宋" w:hAnsi="仿宋" w:eastAsia="仿宋"/>
          <w:sz w:val="28"/>
          <w:szCs w:val="28"/>
        </w:rPr>
        <w:t>并且有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远程一起做事（看剧，看番，看动画片等）的</w:t>
      </w:r>
      <w:r>
        <w:rPr>
          <w:rFonts w:hint="eastAsia" w:ascii="仿宋" w:hAnsi="仿宋" w:eastAsia="仿宋"/>
          <w:sz w:val="28"/>
          <w:szCs w:val="28"/>
        </w:rPr>
        <w:t>需求；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Arial" w:hAnsi="Arial"/>
            </w:rPr>
            <w:t>移动办公中间件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2010-9-14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042B0CDD"/>
    <w:rsid w:val="188A6E81"/>
    <w:rsid w:val="1ADD36C3"/>
    <w:rsid w:val="327D6821"/>
    <w:rsid w:val="34AA7E6E"/>
    <w:rsid w:val="37F2004E"/>
    <w:rsid w:val="46375024"/>
    <w:rsid w:val="5D9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qFormat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qFormat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0</TotalTime>
  <ScaleCrop>false</ScaleCrop>
  <LinksUpToDate>false</LinksUpToDate>
  <CharactersWithSpaces>1679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lenovo</cp:lastModifiedBy>
  <dcterms:modified xsi:type="dcterms:W3CDTF">2020-04-17T10:53:48Z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