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2C5F8A"/>
          <w:sz w:val="52"/>
          <w:szCs w:val="52"/>
        </w:rPr>
        <w:t xml:space="preserve">JHA PayCenter Payment Events Bridge</w:t>
      </w:r>
    </w:p>
    <w:p>
      <w:pPr>
        <w:spacing w:after="80"/>
        <w:jc w:val="center"/>
      </w:pPr>
      <w:r>
        <w:rPr>
          <w:rFonts w:ascii="Arial" w:cs="Arial" w:eastAsia="Arial" w:hAnsi="Arial"/>
          <w:color w:val="555555"/>
          <w:sz w:val="32"/>
          <w:szCs w:val="32"/>
        </w:rPr>
        <w:t xml:space="preserve">System Design Document</w:t>
      </w:r>
    </w:p>
    <w:p>
      <w:pPr>
        <w:spacing w:after="80"/>
        <w:jc w:val="center"/>
      </w:pPr>
      <w:r>
        <w:rPr>
          <w:rFonts w:ascii="Arial" w:cs="Arial" w:eastAsia="Arial" w:hAnsi="Arial"/>
          <w:i/>
          <w:iCs/>
          <w:color w:val="888888"/>
          <w:sz w:val="24"/>
          <w:szCs w:val="24"/>
        </w:rPr>
        <w:t xml:space="preserve">Kafka → GCP Pub/Sub  |  Zelle · RTP · FedNow</w:t>
      </w:r>
    </w:p>
    <w:p>
      <w:pPr>
        <w:spacing w:after="80"/>
      </w:pPr>
      <w:r>
        <w:t xml:space="preserve"/>
      </w:r>
    </w:p>
    <w:p>
      <w:pPr>
        <w:jc w:val="center"/>
      </w:pPr>
      <w:r>
        <w:rPr>
          <w:rFonts w:ascii="Arial" w:cs="Arial" w:eastAsia="Arial" w:hAnsi="Arial"/>
          <w:color w:val="AAAAAA"/>
          <w:sz w:val="20"/>
          <w:szCs w:val="20"/>
        </w:rPr>
        <w:t xml:space="preserve">Version 0.1 – Draft  |  March 2026</w:t>
      </w:r>
    </w:p>
    <w:p>
      <w:pPr>
        <w:spacing w:after="80"/>
      </w:pPr>
      <w:r>
        <w:t xml:space="preserve"/>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Document Info</w:t>
            </w:r>
          </w:p>
        </w:tc>
        <w:tc>
          <w:tcPr>
            <w:tcW w:type="dxa" w:w="4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JHA PayCenter Payment Events Bridge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Engineering Team</w:t>
            </w:r>
          </w:p>
        </w:tc>
      </w:tr>
    </w:tbl>
    <w:p>
      <w:r>
        <w:br w:type="page"/>
      </w:r>
    </w:p>
    <w:p>
      <w:pPr>
        <w:pStyle w:val="Heading1"/>
      </w:pPr>
      <w:r>
        <w:rPr>
          <w:rFonts w:ascii="Arial" w:cs="Arial" w:eastAsia="Arial" w:hAnsi="Arial"/>
          <w:b/>
          <w:bCs/>
          <w:sz w:val="32"/>
          <w:szCs w:val="32"/>
        </w:rPr>
        <w:t xml:space="preserve">1. Executive Summary</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This document describes the design, architecture, and delivery plan for the JHA PayCenter Payment Events Bridge – a cloud-native service that consumes real-time payment events emitted by Jack Henry’s Enterprise Event System (EES) and publishes them to a unified Google Cloud Pub/Sub topic for downstream processing.</w:t>
      </w:r>
    </w:p>
    <w:p>
      <w:pPr>
        <w:spacing w:after="80"/>
      </w:pPr>
      <w:r>
        <w:t xml:space="preserve"/>
      </w:r>
    </w:p>
    <w:p>
      <w:pPr>
        <w:spacing w:after="120"/>
      </w:pPr>
      <w:r>
        <w:rPr>
          <w:rFonts w:ascii="Arial" w:cs="Arial" w:eastAsia="Arial" w:hAnsi="Arial"/>
          <w:sz w:val="22"/>
          <w:szCs w:val="22"/>
        </w:rPr>
        <w:t xml:space="preserve">The service will capture payment activity notifications (EES Event 800) for three payment rails:</w:t>
      </w:r>
    </w:p>
    <w:p>
      <w:pPr>
        <w:pStyle w:val="ListParagraph"/>
        <w:numPr>
          <w:ilvl w:val="0"/>
          <w:numId w:val="2"/>
        </w:numPr>
        <w:spacing w:after="80"/>
      </w:pPr>
      <w:r>
        <w:rPr>
          <w:rFonts w:ascii="Arial" w:cs="Arial" w:eastAsia="Arial" w:hAnsi="Arial"/>
          <w:sz w:val="22"/>
          <w:szCs w:val="22"/>
        </w:rPr>
        <w:t xml:space="preserve">Zelle – person-to-person and business payment network</w:t>
      </w:r>
    </w:p>
    <w:p>
      <w:pPr>
        <w:pStyle w:val="ListParagraph"/>
        <w:numPr>
          <w:ilvl w:val="0"/>
          <w:numId w:val="2"/>
        </w:numPr>
        <w:spacing w:after="80"/>
      </w:pPr>
      <w:r>
        <w:rPr>
          <w:rFonts w:ascii="Arial" w:cs="Arial" w:eastAsia="Arial" w:hAnsi="Arial"/>
          <w:sz w:val="22"/>
          <w:szCs w:val="22"/>
        </w:rPr>
        <w:t xml:space="preserve">RTP® (Real-Time Payments) – The Clearing House instant credit transfer network</w:t>
      </w:r>
    </w:p>
    <w:p>
      <w:pPr>
        <w:pStyle w:val="ListParagraph"/>
        <w:numPr>
          <w:ilvl w:val="0"/>
          <w:numId w:val="2"/>
        </w:numPr>
        <w:spacing w:after="80"/>
      </w:pPr>
      <w:r>
        <w:rPr>
          <w:rFonts w:ascii="Arial" w:cs="Arial" w:eastAsia="Arial" w:hAnsi="Arial"/>
          <w:sz w:val="22"/>
          <w:szCs w:val="22"/>
        </w:rPr>
        <w:t xml:space="preserve">FedNow® – Federal Reserve instant payment service</w:t>
      </w:r>
    </w:p>
    <w:p>
      <w:pPr>
        <w:spacing w:after="80"/>
      </w:pPr>
      <w:r>
        <w:t xml:space="preserve"/>
      </w:r>
    </w:p>
    <w:p>
      <w:pPr>
        <w:spacing w:after="120"/>
      </w:pPr>
      <w:r>
        <w:rPr>
          <w:rFonts w:ascii="Arial" w:cs="Arial" w:eastAsia="Arial" w:hAnsi="Arial"/>
          <w:sz w:val="22"/>
          <w:szCs w:val="22"/>
        </w:rPr>
        <w:t xml:space="preserve">The bridge will be implemented in Python, deployed on Google Cloud Run, and fully provisioned using Terraform. The architecture is designed for reliability, observability, and low operational overhead.</w:t>
      </w:r>
    </w:p>
    <w:p>
      <w:pPr>
        <w:spacing w:after="80"/>
      </w:pPr>
      <w:r>
        <w:t xml:space="preserve"/>
      </w:r>
    </w:p>
    <w:p>
      <w:pPr>
        <w:pStyle w:val="Heading1"/>
      </w:pPr>
      <w:r>
        <w:rPr>
          <w:rFonts w:ascii="Arial" w:cs="Arial" w:eastAsia="Arial" w:hAnsi="Arial"/>
          <w:b/>
          <w:bCs/>
          <w:sz w:val="32"/>
          <w:szCs w:val="32"/>
        </w:rPr>
        <w:t xml:space="preserve">2. Problem Statement</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Jack Henry’s PayCenter hub emits real-time payment lifecycle events via its Enterprise Event System using an Apache Kafka-based messaging backbone. These events contain rich payment data (transaction ID, rail type, amount, status, sender/receiver) but are not currently accessible to our downstream systems and services on GCP.</w:t>
      </w:r>
    </w:p>
    <w:p>
      <w:pPr>
        <w:spacing w:after="80"/>
      </w:pPr>
      <w:r>
        <w:t xml:space="preserve"/>
      </w:r>
    </w:p>
    <w:p>
      <w:pPr>
        <w:spacing w:after="120"/>
      </w:pPr>
      <w:r>
        <w:rPr>
          <w:rFonts w:ascii="Arial" w:cs="Arial" w:eastAsia="Arial" w:hAnsi="Arial"/>
          <w:sz w:val="22"/>
          <w:szCs w:val="22"/>
        </w:rPr>
        <w:t xml:space="preserve">To enable downstream use cases – including fraud scoring, ledger reconciliation, customer notification, and analytics – we need a reliable, observable bridge service that:</w:t>
      </w:r>
    </w:p>
    <w:p>
      <w:pPr>
        <w:pStyle w:val="ListParagraph"/>
        <w:numPr>
          <w:ilvl w:val="0"/>
          <w:numId w:val="3"/>
        </w:numPr>
        <w:spacing w:after="80"/>
      </w:pPr>
      <w:r>
        <w:rPr>
          <w:rFonts w:ascii="Arial" w:cs="Arial" w:eastAsia="Arial" w:hAnsi="Arial"/>
          <w:sz w:val="22"/>
          <w:szCs w:val="22"/>
        </w:rPr>
        <w:t xml:space="preserve">Subscribes to the JH EES Kafka topic for Event 800 (Payment Hub Activity Notifications)</w:t>
      </w:r>
    </w:p>
    <w:p>
      <w:pPr>
        <w:pStyle w:val="ListParagraph"/>
        <w:numPr>
          <w:ilvl w:val="0"/>
          <w:numId w:val="3"/>
        </w:numPr>
        <w:spacing w:after="80"/>
      </w:pPr>
      <w:r>
        <w:rPr>
          <w:rFonts w:ascii="Arial" w:cs="Arial" w:eastAsia="Arial" w:hAnsi="Arial"/>
          <w:sz w:val="22"/>
          <w:szCs w:val="22"/>
        </w:rPr>
        <w:t xml:space="preserve">Filters for the three target payment rail types: Zelle, RTP, and FedNow</w:t>
      </w:r>
    </w:p>
    <w:p>
      <w:pPr>
        <w:pStyle w:val="ListParagraph"/>
        <w:numPr>
          <w:ilvl w:val="0"/>
          <w:numId w:val="3"/>
        </w:numPr>
        <w:spacing w:after="80"/>
      </w:pPr>
      <w:r>
        <w:rPr>
          <w:rFonts w:ascii="Arial" w:cs="Arial" w:eastAsia="Arial" w:hAnsi="Arial"/>
          <w:sz w:val="22"/>
          <w:szCs w:val="22"/>
        </w:rPr>
        <w:t xml:space="preserve">Publishes each event as a message to a GCP Pub/Sub topic for fan-out to downstream consumers</w:t>
      </w:r>
    </w:p>
    <w:p>
      <w:pPr>
        <w:pStyle w:val="ListParagraph"/>
        <w:numPr>
          <w:ilvl w:val="0"/>
          <w:numId w:val="3"/>
        </w:numPr>
        <w:spacing w:after="80"/>
      </w:pPr>
      <w:r>
        <w:rPr>
          <w:rFonts w:ascii="Arial" w:cs="Arial" w:eastAsia="Arial" w:hAnsi="Arial"/>
          <w:sz w:val="22"/>
          <w:szCs w:val="22"/>
        </w:rPr>
        <w:t xml:space="preserve">Handles errors, retries, and dead-letter processing gracefully</w:t>
      </w:r>
    </w:p>
    <w:p>
      <w:pPr>
        <w:pStyle w:val="ListParagraph"/>
        <w:numPr>
          <w:ilvl w:val="0"/>
          <w:numId w:val="3"/>
        </w:numPr>
        <w:spacing w:after="80"/>
      </w:pPr>
      <w:r>
        <w:rPr>
          <w:rFonts w:ascii="Arial" w:cs="Arial" w:eastAsia="Arial" w:hAnsi="Arial"/>
          <w:sz w:val="22"/>
          <w:szCs w:val="22"/>
        </w:rPr>
        <w:t xml:space="preserve">Runs as a managed, auto-scaling service on Cloud Run with full IaC coverage</w:t>
      </w:r>
    </w:p>
    <w:p>
      <w:pPr>
        <w:spacing w:after="80"/>
      </w:pPr>
      <w:r>
        <w:t xml:space="preserve"/>
      </w:r>
    </w:p>
    <w:p>
      <w:pPr>
        <w:pStyle w:val="Heading1"/>
      </w:pPr>
      <w:r>
        <w:rPr>
          <w:rFonts w:ascii="Arial" w:cs="Arial" w:eastAsia="Arial" w:hAnsi="Arial"/>
          <w:b/>
          <w:bCs/>
          <w:sz w:val="32"/>
          <w:szCs w:val="32"/>
        </w:rPr>
        <w:t xml:space="preserve">3. System Architecture</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The end-to-end data flow is as follows: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00"/>
        <w:gridCol w:w="1800"/>
        <w:gridCol w:w="400"/>
        <w:gridCol w:w="1800"/>
        <w:gridCol w:w="400"/>
        <w:gridCol w:w="1800"/>
        <w:gridCol w:w="400"/>
      </w:tblGrid>
      <w:tr>
        <w:tc>
          <w:tcPr>
            <w:tcW w:type="dxa" w:w="1560"/>
            <w:tcBorders>
              <w:top w:val="single" w:color="CCCCCC" w:sz="1"/>
              <w:left w:val="single" w:color="CCCCCC" w:sz="1"/>
              <w:bottom w:val="single" w:color="CCCCCC" w:sz="1"/>
              <w:right w:val="single" w:color="CCCCCC" w:sz="1"/>
            </w:tcBorders>
            <w:shd w:fill="2C5F8A" w:val="clear"/>
            <w:tcMar>
              <w:top w:type="dxa" w:w="120"/>
              <w:left w:type="dxa" w:w="120"/>
              <w:bottom w:type="dxa" w:w="120"/>
              <w:right w:type="dxa" w:w="120"/>
            </w:tcMar>
            <w:vAlign w:val="center"/>
          </w:tcPr>
          <w:p>
            <w:pPr>
              <w:jc w:val="center"/>
            </w:pPr>
            <w:r>
              <w:rPr>
                <w:rFonts w:ascii="Arial" w:cs="Arial" w:eastAsia="Arial" w:hAnsi="Arial"/>
                <w:b/>
                <w:bCs/>
                <w:color w:val="FFFFFF"/>
                <w:sz w:val="20"/>
                <w:szCs w:val="20"/>
              </w:rPr>
              <w:t xml:space="preserve">JH PayCenter
EES Publisher</w:t>
            </w:r>
          </w:p>
        </w:tc>
        <w:tc>
          <w:tcPr>
            <w:tcW w:type="dxa" w:w="400"/>
            <w:tcBorders>
              <w:top w:val="none"/>
              <w:left w:val="none"/>
              <w:bottom w:val="none"/>
              <w:right w:val="none"/>
            </w:tcBorders>
            <w:shd w:fill="FFFFFF" w:val="clear"/>
            <w:tcMar>
              <w:top w:type="dxa" w:w="120"/>
              <w:left w:type="dxa" w:w="0"/>
              <w:bottom w:type="dxa" w:w="120"/>
              <w:right w:type="dxa" w:w="0"/>
            </w:tcMar>
            <w:vAlign w:val="center"/>
          </w:tcPr>
          <w:p>
            <w:pPr>
              <w:jc w:val="center"/>
            </w:pPr>
            <w:r>
              <w:rPr>
                <w:rFonts w:ascii="Arial" w:cs="Arial" w:eastAsia="Arial" w:hAnsi="Arial"/>
                <w:color w:val="2C5F8A"/>
                <w:sz w:val="28"/>
                <w:szCs w:val="28"/>
              </w:rPr>
              <w:t xml:space="preserve">→</w:t>
            </w:r>
          </w:p>
        </w:tc>
        <w:tc>
          <w:tcPr>
            <w:tcW w:type="dxa" w:w="1800"/>
            <w:tcBorders>
              <w:top w:val="single" w:color="CCCCCC" w:sz="1"/>
              <w:left w:val="single" w:color="CCCCCC" w:sz="1"/>
              <w:bottom w:val="single" w:color="CCCCCC" w:sz="1"/>
              <w:right w:val="single" w:color="CCCCCC" w:sz="1"/>
            </w:tcBorders>
            <w:shd w:fill="E8F0F7" w:val="clear"/>
            <w:tcMar>
              <w:top w:type="dxa" w:w="120"/>
              <w:left w:type="dxa" w:w="120"/>
              <w:bottom w:type="dxa" w:w="120"/>
              <w:right w:type="dxa" w:w="120"/>
            </w:tcMar>
            <w:vAlign w:val="center"/>
          </w:tcPr>
          <w:p>
            <w:pPr>
              <w:jc w:val="center"/>
            </w:pPr>
            <w:r>
              <w:rPr>
                <w:rFonts w:ascii="Arial" w:cs="Arial" w:eastAsia="Arial" w:hAnsi="Arial"/>
                <w:b/>
                <w:bCs/>
                <w:color w:val="1A3D5C"/>
                <w:sz w:val="20"/>
                <w:szCs w:val="20"/>
              </w:rPr>
              <w:t xml:space="preserve">Kafka Topic
(Event 800)</w:t>
            </w:r>
          </w:p>
        </w:tc>
        <w:tc>
          <w:tcPr>
            <w:tcW w:type="dxa" w:w="400"/>
            <w:tcBorders>
              <w:top w:val="none"/>
              <w:left w:val="none"/>
              <w:bottom w:val="none"/>
              <w:right w:val="none"/>
            </w:tcBorders>
            <w:shd w:fill="FFFFFF" w:val="clear"/>
            <w:tcMar>
              <w:top w:type="dxa" w:w="120"/>
              <w:left w:type="dxa" w:w="0"/>
              <w:bottom w:type="dxa" w:w="120"/>
              <w:right w:type="dxa" w:w="0"/>
            </w:tcMar>
            <w:vAlign w:val="center"/>
          </w:tcPr>
          <w:p>
            <w:pPr>
              <w:jc w:val="center"/>
            </w:pPr>
            <w:r>
              <w:rPr>
                <w:rFonts w:ascii="Arial" w:cs="Arial" w:eastAsia="Arial" w:hAnsi="Arial"/>
                <w:color w:val="2C5F8A"/>
                <w:sz w:val="28"/>
                <w:szCs w:val="28"/>
              </w:rPr>
              <w:t xml:space="preserve">→</w:t>
            </w:r>
          </w:p>
        </w:tc>
        <w:tc>
          <w:tcPr>
            <w:tcW w:type="dxa" w:w="1800"/>
            <w:tcBorders>
              <w:top w:val="single" w:color="CCCCCC" w:sz="1"/>
              <w:left w:val="single" w:color="CCCCCC" w:sz="1"/>
              <w:bottom w:val="single" w:color="CCCCCC" w:sz="1"/>
              <w:right w:val="single" w:color="CCCCCC" w:sz="1"/>
            </w:tcBorders>
            <w:shd w:fill="D4EDDA" w:val="clear"/>
            <w:tcMar>
              <w:top w:type="dxa" w:w="120"/>
              <w:left w:type="dxa" w:w="120"/>
              <w:bottom w:type="dxa" w:w="120"/>
              <w:right w:type="dxa" w:w="120"/>
            </w:tcMar>
            <w:vAlign w:val="center"/>
          </w:tcPr>
          <w:p>
            <w:pPr>
              <w:jc w:val="center"/>
            </w:pPr>
            <w:r>
              <w:rPr>
                <w:rFonts w:ascii="Arial" w:cs="Arial" w:eastAsia="Arial" w:hAnsi="Arial"/>
                <w:b/>
                <w:bCs/>
                <w:color w:val="155724"/>
                <w:sz w:val="20"/>
                <w:szCs w:val="20"/>
              </w:rPr>
              <w:t xml:space="preserve">Python Bridge
(Cloud Run)</w:t>
            </w:r>
          </w:p>
        </w:tc>
        <w:tc>
          <w:tcPr>
            <w:tcW w:type="dxa" w:w="400"/>
            <w:tcBorders>
              <w:top w:val="none"/>
              <w:left w:val="none"/>
              <w:bottom w:val="none"/>
              <w:right w:val="none"/>
            </w:tcBorders>
            <w:shd w:fill="FFFFFF" w:val="clear"/>
            <w:tcMar>
              <w:top w:type="dxa" w:w="120"/>
              <w:left w:type="dxa" w:w="0"/>
              <w:bottom w:type="dxa" w:w="120"/>
              <w:right w:type="dxa" w:w="0"/>
            </w:tcMar>
            <w:vAlign w:val="center"/>
          </w:tcPr>
          <w:p>
            <w:pPr>
              <w:jc w:val="center"/>
            </w:pPr>
            <w:r>
              <w:rPr>
                <w:rFonts w:ascii="Arial" w:cs="Arial" w:eastAsia="Arial" w:hAnsi="Arial"/>
                <w:color w:val="2C5F8A"/>
                <w:sz w:val="28"/>
                <w:szCs w:val="28"/>
              </w:rPr>
              <w:t xml:space="preserve">→</w:t>
            </w:r>
          </w:p>
        </w:tc>
        <w:tc>
          <w:tcPr>
            <w:tcW w:type="dxa" w:w="1800"/>
            <w:tcBorders>
              <w:top w:val="single" w:color="CCCCCC" w:sz="1"/>
              <w:left w:val="single" w:color="CCCCCC" w:sz="1"/>
              <w:bottom w:val="single" w:color="CCCCCC" w:sz="1"/>
              <w:right w:val="single" w:color="CCCCCC" w:sz="1"/>
            </w:tcBorders>
            <w:shd w:fill="FFF3CD" w:val="clear"/>
            <w:tcMar>
              <w:top w:type="dxa" w:w="120"/>
              <w:left w:type="dxa" w:w="120"/>
              <w:bottom w:type="dxa" w:w="120"/>
              <w:right w:type="dxa" w:w="120"/>
            </w:tcMar>
            <w:vAlign w:val="center"/>
          </w:tcPr>
          <w:p>
            <w:pPr>
              <w:jc w:val="center"/>
            </w:pPr>
            <w:r>
              <w:rPr>
                <w:rFonts w:ascii="Arial" w:cs="Arial" w:eastAsia="Arial" w:hAnsi="Arial"/>
                <w:b/>
                <w:bCs/>
                <w:color w:val="856404"/>
                <w:sz w:val="20"/>
                <w:szCs w:val="20"/>
              </w:rPr>
              <w:t xml:space="preserve">GCP Pub/Sub
(Unified Topic)</w:t>
            </w:r>
          </w:p>
        </w:tc>
        <w:tc>
          <w:tcPr>
            <w:tcW w:type="dxa" w:w="400"/>
            <w:tcBorders>
              <w:top w:val="none"/>
              <w:left w:val="none"/>
              <w:bottom w:val="none"/>
              <w:right w:val="none"/>
            </w:tcBorders>
            <w:shd w:fill="FFFFFF" w:val="clear"/>
            <w:tcMar>
              <w:top w:type="dxa" w:w="120"/>
              <w:left w:type="dxa" w:w="0"/>
              <w:bottom w:type="dxa" w:w="120"/>
              <w:right w:type="dxa" w:w="0"/>
            </w:tcMar>
            <w:vAlign w:val="center"/>
          </w:tcPr>
          <w:p>
            <w:pPr>
              <w:jc w:val="center"/>
            </w:pPr>
            <w:r>
              <w:rPr>
                <w:rFonts w:ascii="Arial" w:cs="Arial" w:eastAsia="Arial" w:hAnsi="Arial"/>
                <w:color w:val="2C5F8A"/>
                <w:sz w:val="28"/>
                <w:szCs w:val="28"/>
              </w:rPr>
              <w:t xml:space="preserve">→</w:t>
            </w:r>
          </w:p>
        </w:tc>
      </w:tr>
      <w:tr>
        <w:tc>
          <w:tcPr>
            <w:tcW w:type="dxa" w:w="1560"/>
            <w:tcBorders>
              <w:top w:val="none"/>
              <w:left w:val="none"/>
              <w:bottom w:val="none"/>
              <w:right w:val="none"/>
            </w:tcBorders>
            <w:shd w:fill="FFFFFF" w:val="clear"/>
            <w:tcMar>
              <w:top w:type="dxa" w:w="40"/>
              <w:left w:type="dxa" w:w="120"/>
              <w:bottom w:type="dxa" w:w="0"/>
              <w:right w:type="dxa" w:w="120"/>
            </w:tcMar>
          </w:tcPr>
          <w:p>
            <w:pPr>
              <w:jc w:val="center"/>
            </w:pPr>
            <w:r>
              <w:rPr>
                <w:rFonts w:ascii="Arial" w:cs="Arial" w:eastAsia="Arial" w:hAnsi="Arial"/>
                <w:i/>
                <w:iCs/>
                <w:color w:val="888888"/>
                <w:sz w:val="16"/>
                <w:szCs w:val="16"/>
              </w:rPr>
              <w:t xml:space="preserve">Event source</w:t>
            </w:r>
          </w:p>
        </w:tc>
        <w:tc>
          <w:tcPr>
            <w:tcW w:type="dxa" w:w="400"/>
            <w:tcBorders>
              <w:top w:val="none"/>
              <w:left w:val="none"/>
              <w:bottom w:val="none"/>
              <w:right w:val="none"/>
            </w:tcBorders>
            <w:shd w:fill="FFFFFF" w:val="clear"/>
          </w:tcPr>
          <w:p>
            <w:r>
              <w:t xml:space="preserve"/>
            </w:r>
          </w:p>
        </w:tc>
        <w:tc>
          <w:tcPr>
            <w:tcW w:type="dxa" w:w="1800"/>
            <w:tcBorders>
              <w:top w:val="none"/>
              <w:left w:val="none"/>
              <w:bottom w:val="none"/>
              <w:right w:val="none"/>
            </w:tcBorders>
            <w:shd w:fill="FFFFFF" w:val="clear"/>
            <w:tcMar>
              <w:top w:type="dxa" w:w="40"/>
              <w:left w:type="dxa" w:w="120"/>
              <w:bottom w:type="dxa" w:w="0"/>
              <w:right w:type="dxa" w:w="120"/>
            </w:tcMar>
          </w:tcPr>
          <w:p>
            <w:pPr>
              <w:jc w:val="center"/>
            </w:pPr>
            <w:r>
              <w:rPr>
                <w:rFonts w:ascii="Arial" w:cs="Arial" w:eastAsia="Arial" w:hAnsi="Arial"/>
                <w:i/>
                <w:iCs/>
                <w:color w:val="888888"/>
                <w:sz w:val="16"/>
                <w:szCs w:val="16"/>
              </w:rPr>
              <w:t xml:space="preserve">JH-managed</w:t>
            </w:r>
          </w:p>
        </w:tc>
        <w:tc>
          <w:tcPr>
            <w:tcW w:type="dxa" w:w="400"/>
            <w:tcBorders>
              <w:top w:val="none"/>
              <w:left w:val="none"/>
              <w:bottom w:val="none"/>
              <w:right w:val="none"/>
            </w:tcBorders>
            <w:shd w:fill="FFFFFF" w:val="clear"/>
          </w:tcPr>
          <w:p>
            <w:r>
              <w:t xml:space="preserve"/>
            </w:r>
          </w:p>
        </w:tc>
        <w:tc>
          <w:tcPr>
            <w:tcW w:type="dxa" w:w="1800"/>
            <w:tcBorders>
              <w:top w:val="none"/>
              <w:left w:val="none"/>
              <w:bottom w:val="none"/>
              <w:right w:val="none"/>
            </w:tcBorders>
            <w:shd w:fill="FFFFFF" w:val="clear"/>
            <w:tcMar>
              <w:top w:type="dxa" w:w="40"/>
              <w:left w:type="dxa" w:w="120"/>
              <w:bottom w:type="dxa" w:w="0"/>
              <w:right w:type="dxa" w:w="120"/>
            </w:tcMar>
          </w:tcPr>
          <w:p>
            <w:pPr>
              <w:jc w:val="center"/>
            </w:pPr>
            <w:r>
              <w:rPr>
                <w:rFonts w:ascii="Arial" w:cs="Arial" w:eastAsia="Arial" w:hAnsi="Arial"/>
                <w:i/>
                <w:iCs/>
                <w:color w:val="888888"/>
                <w:sz w:val="16"/>
                <w:szCs w:val="16"/>
              </w:rPr>
              <w:t xml:space="preserve">Our service</w:t>
            </w:r>
          </w:p>
        </w:tc>
        <w:tc>
          <w:tcPr>
            <w:tcW w:type="dxa" w:w="400"/>
            <w:tcBorders>
              <w:top w:val="none"/>
              <w:left w:val="none"/>
              <w:bottom w:val="none"/>
              <w:right w:val="none"/>
            </w:tcBorders>
            <w:shd w:fill="FFFFFF" w:val="clear"/>
          </w:tcPr>
          <w:p>
            <w:r>
              <w:t xml:space="preserve"/>
            </w:r>
          </w:p>
        </w:tc>
        <w:tc>
          <w:tcPr>
            <w:tcW w:type="dxa" w:w="1800"/>
            <w:tcBorders>
              <w:top w:val="none"/>
              <w:left w:val="none"/>
              <w:bottom w:val="none"/>
              <w:right w:val="none"/>
            </w:tcBorders>
            <w:shd w:fill="FFFFFF" w:val="clear"/>
            <w:tcMar>
              <w:top w:type="dxa" w:w="40"/>
              <w:left w:type="dxa" w:w="120"/>
              <w:bottom w:type="dxa" w:w="0"/>
              <w:right w:type="dxa" w:w="120"/>
            </w:tcMar>
          </w:tcPr>
          <w:p>
            <w:pPr>
              <w:jc w:val="center"/>
            </w:pPr>
            <w:r>
              <w:rPr>
                <w:rFonts w:ascii="Arial" w:cs="Arial" w:eastAsia="Arial" w:hAnsi="Arial"/>
                <w:i/>
                <w:iCs/>
                <w:color w:val="888888"/>
                <w:sz w:val="16"/>
                <w:szCs w:val="16"/>
              </w:rPr>
              <w:t xml:space="preserve">Downstream consumers</w:t>
            </w:r>
          </w:p>
        </w:tc>
        <w:tc>
          <w:tcPr>
            <w:tcW w:type="dxa" w:w="400"/>
            <w:tcBorders>
              <w:top w:val="none"/>
              <w:left w:val="none"/>
              <w:bottom w:val="none"/>
              <w:right w:val="none"/>
            </w:tcBorders>
            <w:shd w:fill="FFFFFF" w:val="clear"/>
          </w:tcPr>
          <w:p>
            <w:r>
              <w:t xml:space="preserve"/>
            </w:r>
          </w:p>
        </w:tc>
      </w:tr>
    </w:tbl>
    <w:p>
      <w:pPr>
        <w:spacing w:after="80"/>
      </w:pPr>
      <w:r>
        <w:t xml:space="preserve"/>
      </w:r>
    </w:p>
    <w:p>
      <w:pPr>
        <w:pStyle w:val="Heading2"/>
      </w:pPr>
      <w:r>
        <w:rPr>
          <w:rFonts w:ascii="Arial" w:cs="Arial" w:eastAsia="Arial" w:hAnsi="Arial"/>
          <w:b/>
          <w:bCs/>
          <w:sz w:val="28"/>
          <w:szCs w:val="28"/>
        </w:rPr>
        <w:t xml:space="preserve">3.1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8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8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JHA EES Publisher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 Henry PayCenter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Emits Event 800 – Payment Hub Activity Notifications for all rails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Kafka Topic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 Kafka (JH-managed)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Durable, ordered event stream. Consumer group offsets managed per service instance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Bridge Service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3.11, confluent-kafka, google-cloud-pubsub</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Polls Kafka, deserializes events, publishes to Pub/Sub with rail-type attribute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GCP Pub/Sub Topic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Pub/Sub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unified topic: payment-events. Downstream subscribers filter on rail_type message attribute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Cloud Run</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Cloud Run (always-on)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Serverless container host. Minimum 1 instance to maintain Kafka consumer group membership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Secret Manager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GCP Secret Manager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Kafka broker credentials, SSL certs, and Pub/Sub SA key at runtime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Dead Letter Topic</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GCP Pub/Sub DLT</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Captures unparseable or undeliverable events for manual review and replay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Terraform</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(GCP provider)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Provisions all GCP resources: Cloud Run, Pub/Sub, IAM, Secret Manager, monitoring</w:t>
            </w:r>
          </w:p>
        </w:tc>
      </w:tr>
    </w:tbl>
    <w:p>
      <w:pPr>
        <w:spacing w:after="80"/>
      </w:pPr>
      <w:r>
        <w:t xml:space="preserve"/>
      </w:r>
    </w:p>
    <w:p>
      <w:pPr>
        <w:pStyle w:val="Heading2"/>
      </w:pPr>
      <w:r>
        <w:rPr>
          <w:rFonts w:ascii="Arial" w:cs="Arial" w:eastAsia="Arial" w:hAnsi="Arial"/>
          <w:b/>
          <w:bCs/>
          <w:sz w:val="28"/>
          <w:szCs w:val="28"/>
        </w:rPr>
        <w:t xml:space="preserve">3.2 Deployment Architecture</w:t>
      </w:r>
    </w:p>
    <w:p>
      <w:pPr>
        <w:spacing w:after="120"/>
      </w:pPr>
      <w:r>
        <w:rPr>
          <w:rFonts w:ascii="Arial" w:cs="Arial" w:eastAsia="Arial" w:hAnsi="Arial"/>
          <w:sz w:val="22"/>
          <w:szCs w:val="22"/>
        </w:rPr>
        <w:t xml:space="preserve">The bridge service runs as a long-lived containerized process on Cloud Run with min-instances = 1. This is required because Kafka consumer group membership demands a persistent connection; a cold-start model would cause rebalance storms and missed events.</w:t>
      </w:r>
    </w:p>
    <w:p>
      <w:pPr>
        <w:spacing w:after="80"/>
      </w:pPr>
      <w:r>
        <w:t xml:space="preserve"/>
      </w:r>
    </w:p>
    <w:p>
      <w:pPr>
        <w:spacing w:after="120"/>
      </w:pPr>
      <w:r>
        <w:rPr>
          <w:rFonts w:ascii="Arial" w:cs="Arial" w:eastAsia="Arial" w:hAnsi="Arial"/>
          <w:sz w:val="22"/>
          <w:szCs w:val="22"/>
        </w:rPr>
        <w:t xml:space="preserve">Kafka connectivity is established over TLS using credentials stored in GCP Secret Manager and mounted at container startup. A VPC connector may be required if the JH Kafka cluster is peered via private networking.</w:t>
      </w:r>
    </w:p>
    <w:p>
      <w:pPr>
        <w:spacing w:after="80"/>
      </w:pPr>
      <w:r>
        <w:t xml:space="preserve"/>
      </w:r>
    </w:p>
    <w:p>
      <w:r>
        <w:br w:type="page"/>
      </w:r>
    </w:p>
    <w:p>
      <w:pPr>
        <w:pStyle w:val="Heading1"/>
      </w:pPr>
      <w:r>
        <w:rPr>
          <w:rFonts w:ascii="Arial" w:cs="Arial" w:eastAsia="Arial" w:hAnsi="Arial"/>
          <w:b/>
          <w:bCs/>
          <w:sz w:val="32"/>
          <w:szCs w:val="32"/>
        </w:rPr>
        <w:t xml:space="preserve">4. JHA EES Event 800 – Payload Schema</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JHA PayCenter publishes all payment lifecycle events under Event 800: Payment Hub Activity Notifications. Each event message is a JSON-encoded payload delivered to the Kafka topic. The table below documents the expected fields based on Jack Henry’s EES specification.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eventId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 (UUID)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identifier for this event instance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“800” – Payment Hub Activity Notification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eventDateTime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8601 datetime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 when the event was emitted by PayCenter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institutionId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 Henry financial institution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pmtRailType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Payment rail: ZELLE | RTP | FEDNOW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transactionId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payment transaction identifier assigned by PayCenter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networkTransactionId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network transaction ID assigned by the rail (TCH, Fed, Zelle)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PROCESSING | COMPLETED | FAILED | RETURNED | RECALLED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amount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decimal 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Transaction amount (string to preserve precision, e.g. “1500.00”)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currency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(ISO 4217)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code – typically “USD”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senderAccountId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Tokenized or masked sending account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receiverAccountId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Tokenized or masked receiving account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senderRoutingNumber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ABA routing number of sending institution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receiverRoutingNumber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ABA routing number of receiving institution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Optional payment memo or remittance information (ISO 20022 unstructured)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returnReasonCode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Return/reject reason code if paymentStatus = RETURNED or FAILED</w:t>
            </w:r>
          </w:p>
        </w:tc>
      </w:tr>
    </w:tbl>
    <w:p>
      <w:pPr>
        <w:spacing w:after="80"/>
      </w:pPr>
      <w:r>
        <w:t xml:space="preserve"/>
      </w:r>
    </w:p>
    <w:p>
      <w:pPr>
        <w:spacing w:after="120"/>
      </w:pPr>
      <w:r>
        <w:rPr>
          <w:rFonts w:ascii="Arial" w:cs="Arial" w:eastAsia="Arial" w:hAnsi="Arial"/>
          <w:i/>
          <w:iCs/>
          <w:color w:val="666666"/>
          <w:sz w:val="22"/>
          <w:szCs w:val="22"/>
        </w:rPr>
        <w:t xml:space="preserve">Note: The exact field names and schema should be validated against the official JHA EES API documentation at jackhenry.dev once API access is provisioned. The schema above is based on the EES Event 800 specification and ISO 20022 messaging standards used by all three rails.</w:t>
      </w:r>
    </w:p>
    <w:p>
      <w:pPr>
        <w:spacing w:after="80"/>
      </w:pPr>
      <w:r>
        <w:t xml:space="preserve"/>
      </w:r>
    </w:p>
    <w:p>
      <w:pPr>
        <w:pStyle w:val="Heading2"/>
      </w:pPr>
      <w:r>
        <w:rPr>
          <w:rFonts w:ascii="Arial" w:cs="Arial" w:eastAsia="Arial" w:hAnsi="Arial"/>
          <w:b/>
          <w:bCs/>
          <w:sz w:val="28"/>
          <w:szCs w:val="28"/>
        </w:rPr>
        <w:t xml:space="preserve">4.1 Pub/Sub Message Envelope</w:t>
      </w:r>
    </w:p>
    <w:p>
      <w:pPr>
        <w:spacing w:after="120"/>
      </w:pPr>
      <w:r>
        <w:rPr>
          <w:rFonts w:ascii="Arial" w:cs="Arial" w:eastAsia="Arial" w:hAnsi="Arial"/>
          <w:sz w:val="22"/>
          <w:szCs w:val="22"/>
        </w:rPr>
        <w:t xml:space="preserve">Each Kafka message will be published to Pub/Sub with the raw JSON payload as the message data, and the following attributes for downstream filtering: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Attribute Key</w:t>
            </w:r>
          </w:p>
        </w:tc>
        <w:tc>
          <w:tcPr>
            <w:tcW w:type="dxa" w:w="2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4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rail_type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ZELLE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Mapped from pmtRailType field in Event 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payment_status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 from paymentStatus field in Event 800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institution_id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FI-00123</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Mapped from institutionId field in Event 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Mapped from eventId field in Event 800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source_topic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ees-paycenter-800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Kafka topic name (set by bridge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kafka_offset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1048293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 partition offset (set by bridge service for traceability)</w:t>
            </w:r>
          </w:p>
        </w:tc>
      </w:tr>
    </w:tbl>
    <w:p>
      <w:pPr>
        <w:spacing w:after="80"/>
      </w:pPr>
      <w:r>
        <w:t xml:space="preserve"/>
      </w:r>
    </w:p>
    <w:p>
      <w:r>
        <w:br w:type="page"/>
      </w:r>
    </w:p>
    <w:p>
      <w:pPr>
        <w:pStyle w:val="Heading1"/>
      </w:pPr>
      <w:r>
        <w:rPr>
          <w:rFonts w:ascii="Arial" w:cs="Arial" w:eastAsia="Arial" w:hAnsi="Arial"/>
          <w:b/>
          <w:bCs/>
          <w:sz w:val="32"/>
          <w:szCs w:val="32"/>
        </w:rPr>
        <w:t xml:space="preserve">5. Epics &amp; Requirements</w:t>
      </w:r>
    </w:p>
    <w:p>
      <w:pPr>
        <w:pBdr>
          <w:bottom w:val="single" w:color="2C5F8A" w:sz="4" w:space="1"/>
        </w:pBdr>
        <w:spacing w:after="80" w:before="80"/>
      </w:pPr>
      <w:r>
        <w:t xml:space="preserve"/>
      </w:r>
    </w:p>
    <w:p>
      <w:pPr>
        <w:spacing w:after="120"/>
      </w:pPr>
      <w:r>
        <w:rPr>
          <w:rFonts w:ascii="Arial" w:cs="Arial" w:eastAsia="Arial" w:hAnsi="Arial"/>
          <w:sz w:val="22"/>
          <w:szCs w:val="22"/>
        </w:rPr>
        <w:t xml:space="preserve">The following epics define the full delivery scope of the bridge service. Each epic contains functional and non-functional requirements, along with acceptance criteria.</w:t>
      </w:r>
    </w:p>
    <w:p>
      <w:pPr>
        <w:spacing w:after="80"/>
      </w:pPr>
      <w:r>
        <w:t xml:space="preserve"/>
      </w:r>
    </w:p>
    <w:p>
      <w:pPr>
        <w:shd w:fill="2C5F8A" w:val="clear"/>
        <w:spacing w:after="80" w:before="160"/>
      </w:pPr>
      <w:r>
        <w:rPr>
          <w:rFonts w:ascii="Arial" w:cs="Arial" w:eastAsia="Arial" w:hAnsi="Arial"/>
          <w:b/>
          <w:bCs/>
          <w:color w:val="FFFFFF"/>
          <w:sz w:val="26"/>
          <w:szCs w:val="26"/>
        </w:rPr>
        <w:t xml:space="preserve">  EPIC 1  –  Kafka Consumer Service</w:t>
      </w:r>
    </w:p>
    <w:p>
      <w:pPr>
        <w:spacing w:after="120"/>
      </w:pPr>
      <w:r>
        <w:rPr>
          <w:rFonts w:ascii="Arial" w:cs="Arial" w:eastAsia="Arial" w:hAnsi="Arial"/>
          <w:sz w:val="22"/>
          <w:szCs w:val="22"/>
        </w:rPr>
        <w:t xml:space="preserve">Build the core Python service that connects to the JH EES Kafka topic, consumes Event 800 messages for Zelle, RTP, and FedNow, tokenizes PII fields in-flight, and publishes sanitized events to GCP Pub/Sub.</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FR-1.1  –  The service SHALL connect to the JH EES Kafka cluster using SASL/SSL authentication with credentials sourced from GCP Secret Manager at startup.</w:t>
      </w:r>
    </w:p>
    <w:p>
      <w:pPr>
        <w:pStyle w:val="ListParagraph"/>
        <w:numPr>
          <w:ilvl w:val="0"/>
          <w:numId w:val="2"/>
        </w:numPr>
        <w:spacing w:after="80"/>
      </w:pPr>
      <w:r>
        <w:rPr>
          <w:rFonts w:ascii="Arial" w:cs="Arial" w:eastAsia="Arial" w:hAnsi="Arial"/>
          <w:sz w:val="22"/>
          <w:szCs w:val="22"/>
        </w:rPr>
        <w:t xml:space="preserve">FR-1.2  –  The service SHALL join a named consumer group (e.g. paycenter-bridge-cg) to enable offset tracking and horizontal scaling.</w:t>
      </w:r>
    </w:p>
    <w:p>
      <w:pPr>
        <w:pStyle w:val="ListParagraph"/>
        <w:numPr>
          <w:ilvl w:val="0"/>
          <w:numId w:val="2"/>
        </w:numPr>
        <w:spacing w:after="80"/>
      </w:pPr>
      <w:r>
        <w:rPr>
          <w:rFonts w:ascii="Arial" w:cs="Arial" w:eastAsia="Arial" w:hAnsi="Arial"/>
          <w:sz w:val="22"/>
          <w:szCs w:val="22"/>
        </w:rPr>
        <w:t xml:space="preserve">FR-1.3  –  The service SHALL subscribe to the Event 800 Kafka topic and consume messages in real time.</w:t>
      </w:r>
    </w:p>
    <w:p>
      <w:pPr>
        <w:pStyle w:val="ListParagraph"/>
        <w:numPr>
          <w:ilvl w:val="0"/>
          <w:numId w:val="2"/>
        </w:numPr>
        <w:spacing w:after="80"/>
      </w:pPr>
      <w:r>
        <w:rPr>
          <w:rFonts w:ascii="Arial" w:cs="Arial" w:eastAsia="Arial" w:hAnsi="Arial"/>
          <w:sz w:val="22"/>
          <w:szCs w:val="22"/>
        </w:rPr>
        <w:t xml:space="preserve">FR-1.4  –  The service SHALL deserialize each Kafka message value as JSON and validate that it conforms to the expected Event 800 schema.</w:t>
      </w:r>
    </w:p>
    <w:p>
      <w:pPr>
        <w:pStyle w:val="ListParagraph"/>
        <w:numPr>
          <w:ilvl w:val="0"/>
          <w:numId w:val="2"/>
        </w:numPr>
        <w:spacing w:after="80"/>
      </w:pPr>
      <w:r>
        <w:rPr>
          <w:rFonts w:ascii="Arial" w:cs="Arial" w:eastAsia="Arial" w:hAnsi="Arial"/>
          <w:sz w:val="22"/>
          <w:szCs w:val="22"/>
        </w:rPr>
        <w:t xml:space="preserve">FR-1.5  –  The service SHALL filter consumed events to include only those with pmtRailType values of ZELLE, RTP, or FEDNOW. Events from other rail types SHALL be acknowledged and discarded.</w:t>
      </w:r>
    </w:p>
    <w:p>
      <w:pPr>
        <w:pStyle w:val="ListParagraph"/>
        <w:numPr>
          <w:ilvl w:val="0"/>
          <w:numId w:val="2"/>
        </w:numPr>
        <w:spacing w:after="80"/>
      </w:pPr>
      <w:r>
        <w:rPr>
          <w:rFonts w:ascii="Arial" w:cs="Arial" w:eastAsia="Arial" w:hAnsi="Arial"/>
          <w:sz w:val="22"/>
          <w:szCs w:val="22"/>
        </w:rPr>
        <w:t xml:space="preserve">FR-1.6  –  The service SHALL tokenize PII fields (tokenValue, displayName, memo) in-flight before publishing to Pub/Sub. Plain-text PII values must never appear in the published payload, logs, or metrics.</w:t>
      </w:r>
    </w:p>
    <w:p>
      <w:pPr>
        <w:pStyle w:val="ListParagraph"/>
        <w:numPr>
          <w:ilvl w:val="0"/>
          <w:numId w:val="2"/>
        </w:numPr>
        <w:spacing w:after="80"/>
      </w:pPr>
      <w:r>
        <w:rPr>
          <w:rFonts w:ascii="Arial" w:cs="Arial" w:eastAsia="Arial" w:hAnsi="Arial"/>
          <w:sz w:val="22"/>
          <w:szCs w:val="22"/>
        </w:rPr>
        <w:t xml:space="preserve">FR-1.7  –  Tokenization SHALL be deterministic: the same input value always produces the same token, enabling downstream correlation without exposing PII.
      </w:t>
      </w:r>
    </w:p>
    <w:p>
      <w:pPr>
        <w:pStyle w:val="ListParagraph"/>
        <w:numPr>
          <w:ilvl w:val="0"/>
          <w:numId w:val="2"/>
        </w:numPr>
        <w:spacing w:after="80"/>
      </w:pPr>
      <w:r>
        <w:rPr>
          <w:rFonts w:ascii="Arial" w:cs="Arial" w:eastAsia="Arial" w:hAnsi="Arial"/>
          <w:sz w:val="22"/>
          <w:szCs w:val="22"/>
        </w:rPr>
        <w:t xml:space="preserve">FR-1.8  –  The service SHALL commit Kafka offsets only after a message has been successfully published to Pub/Sub (at-least-once delivery guarantee).</w:t>
      </w:r>
    </w:p>
    <w:p>
      <w:pPr>
        <w:spacing w:after="80"/>
      </w:pPr>
      <w:r>
        <w:t xml:space="preserve"/>
      </w:r>
    </w:p>
    <w:p>
      <w:pPr>
        <w:pStyle w:val="Heading3"/>
      </w:pPr>
      <w:r>
        <w:rPr>
          <w:rFonts w:ascii="Arial" w:cs="Arial" w:eastAsia="Arial" w:hAnsi="Arial"/>
          <w:b/>
          <w:bCs/>
          <w:sz w:val="24"/>
          <w:szCs w:val="24"/>
        </w:rPr>
        <w:t xml:space="preserve">Non-Functional Requirements</w:t>
      </w:r>
    </w:p>
    <w:p>
      <w:pPr>
        <w:pStyle w:val="ListParagraph"/>
        <w:numPr>
          <w:ilvl w:val="0"/>
          <w:numId w:val="2"/>
        </w:numPr>
        <w:spacing w:after="80"/>
      </w:pPr>
      <w:r>
        <w:rPr>
          <w:rFonts w:ascii="Arial" w:cs="Arial" w:eastAsia="Arial" w:hAnsi="Arial"/>
          <w:sz w:val="22"/>
          <w:szCs w:val="22"/>
        </w:rPr>
        <w:t xml:space="preserve">NFR-1.1  –  Consumer poll loop latency from Kafka receipt to Pub/Sub publish (including tokenization) SHALL be under 2 seconds at p99 under normal load.</w:t>
      </w:r>
    </w:p>
    <w:p>
      <w:pPr>
        <w:pStyle w:val="ListParagraph"/>
        <w:numPr>
          <w:ilvl w:val="0"/>
          <w:numId w:val="2"/>
        </w:numPr>
        <w:spacing w:after="80"/>
      </w:pPr>
      <w:r>
        <w:rPr>
          <w:rFonts w:ascii="Arial" w:cs="Arial" w:eastAsia="Arial" w:hAnsi="Arial"/>
          <w:sz w:val="22"/>
          <w:szCs w:val="22"/>
        </w:rPr>
        <w:t xml:space="preserve">NFR-1.2  –  The service SHALL handle Kafka broker disconnects and reconnect automatically with exponential backoff (max 60 seconds).</w:t>
      </w:r>
    </w:p>
    <w:p>
      <w:pPr>
        <w:pStyle w:val="ListParagraph"/>
        <w:numPr>
          <w:ilvl w:val="0"/>
          <w:numId w:val="2"/>
        </w:numPr>
        <w:spacing w:after="80"/>
      </w:pPr>
      <w:r>
        <w:rPr>
          <w:rFonts w:ascii="Arial" w:cs="Arial" w:eastAsia="Arial" w:hAnsi="Arial"/>
          <w:sz w:val="22"/>
          <w:szCs w:val="22"/>
        </w:rPr>
        <w:t xml:space="preserve">NFR-1.3  –  The service SHALL emit structured JSON logs for every consumed message, including eventId, pmtRailType, paymentStatus, and processing outcome. Logs SHALL never contain plain-text PII values.</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Service starts, authenticates to Kafka, and begins consuming within 30 seconds of container boot.</w:t>
      </w:r>
    </w:p>
    <w:p>
      <w:pPr>
        <w:pStyle w:val="ListParagraph"/>
        <w:numPr>
          <w:ilvl w:val="0"/>
          <w:numId w:val="3"/>
        </w:numPr>
        <w:spacing w:after="80"/>
      </w:pPr>
      <w:r>
        <w:rPr>
          <w:rFonts w:ascii="Arial" w:cs="Arial" w:eastAsia="Arial" w:hAnsi="Arial"/>
          <w:sz w:val="22"/>
          <w:szCs w:val="22"/>
        </w:rPr>
        <w:t xml:space="preserve">A test Zelle, RTP, and FedNow Event 800 message injected into Kafka each appear in Pub/Sub within 2 seconds.
      </w:t>
      </w:r>
    </w:p>
    <w:p>
      <w:pPr>
        <w:pStyle w:val="ListParagraph"/>
        <w:numPr>
          <w:ilvl w:val="0"/>
          <w:numId w:val="3"/>
        </w:numPr>
        <w:spacing w:after="80"/>
      </w:pPr>
      <w:r>
        <w:rPr>
          <w:rFonts w:ascii="Arial" w:cs="Arial" w:eastAsia="Arial" w:hAnsi="Arial"/>
          <w:sz w:val="22"/>
          <w:szCs w:val="22"/>
        </w:rPr>
        <w:t xml:space="preserve">Published Pub/Sub messages contain tokenized values for tokenValue, displayName, and memo. No plain-text PII is present in the published payload.</w:t>
      </w:r>
    </w:p>
    <w:p>
      <w:pPr>
        <w:pStyle w:val="ListParagraph"/>
        <w:numPr>
          <w:ilvl w:val="0"/>
          <w:numId w:val="3"/>
        </w:numPr>
        <w:spacing w:after="80"/>
      </w:pPr>
      <w:r>
        <w:rPr>
          <w:rFonts w:ascii="Arial" w:cs="Arial" w:eastAsia="Arial" w:hAnsi="Arial"/>
          <w:sz w:val="22"/>
          <w:szCs w:val="22"/>
        </w:rPr>
        <w:t xml:space="preserve">An Event 800 message with an unknown rail type is consumed and discarded – not published to Pub/Sub.</w:t>
      </w:r>
    </w:p>
    <w:p>
      <w:pPr>
        <w:pStyle w:val="ListParagraph"/>
        <w:numPr>
          <w:ilvl w:val="0"/>
          <w:numId w:val="3"/>
        </w:numPr>
        <w:spacing w:after="80"/>
      </w:pPr>
      <w:r>
        <w:rPr>
          <w:rFonts w:ascii="Arial" w:cs="Arial" w:eastAsia="Arial" w:hAnsi="Arial"/>
          <w:sz w:val="22"/>
          <w:szCs w:val="22"/>
        </w:rPr>
        <w:t xml:space="preserve">A malformed JSON message is routed to the dead letter topic without crashing the service.</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2  –  GCP Pub/Sub Integration</w:t>
      </w:r>
    </w:p>
    <w:p>
      <w:pPr>
        <w:spacing w:after="120"/>
      </w:pPr>
      <w:r>
        <w:rPr>
          <w:rFonts w:ascii="Arial" w:cs="Arial" w:eastAsia="Arial" w:hAnsi="Arial"/>
          <w:sz w:val="22"/>
          <w:szCs w:val="22"/>
        </w:rPr>
        <w:t xml:space="preserve">Configure GCP Pub/Sub resources and implement the publishing logic. All messages published to Pub/Sub contain tokenized PII – no plain-text personal data reaches downstream consumers.</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FR-2.1  –  The service SHALL publish each valid, PII-tokenized Event 800 message to the payment-events Pub/Sub topic. The message body SHALL be the sanitized JSON payload with all PII fields replaced by opaque tokens.</w:t>
      </w:r>
    </w:p>
    <w:p>
      <w:pPr>
        <w:pStyle w:val="ListParagraph"/>
        <w:numPr>
          <w:ilvl w:val="0"/>
          <w:numId w:val="2"/>
        </w:numPr>
        <w:spacing w:after="80"/>
      </w:pPr>
      <w:r>
        <w:rPr>
          <w:rFonts w:ascii="Arial" w:cs="Arial" w:eastAsia="Arial" w:hAnsi="Arial"/>
          <w:sz w:val="22"/>
          <w:szCs w:val="22"/>
        </w:rPr>
        <w:t xml:space="preserve">FR-2.2  –  The service SHALL attach the Pub/Sub message attributes listed in Section 4.1, enabling downstream subscribers to filter without deserializing the payload.</w:t>
      </w:r>
    </w:p>
    <w:p>
      <w:pPr>
        <w:pStyle w:val="ListParagraph"/>
        <w:numPr>
          <w:ilvl w:val="0"/>
          <w:numId w:val="2"/>
        </w:numPr>
        <w:spacing w:after="80"/>
      </w:pPr>
      <w:r>
        <w:rPr>
          <w:rFonts w:ascii="Arial" w:cs="Arial" w:eastAsia="Arial" w:hAnsi="Arial"/>
          <w:sz w:val="22"/>
          <w:szCs w:val="22"/>
        </w:rPr>
        <w:t xml:space="preserve">FR-2.3  –  A separate Pub/Sub topic, payment-events-dead-letter, SHALL be created to receive messages that cannot be parsed or published.</w:t>
      </w:r>
    </w:p>
    <w:p>
      <w:pPr>
        <w:pStyle w:val="ListParagraph"/>
        <w:numPr>
          <w:ilvl w:val="0"/>
          <w:numId w:val="2"/>
        </w:numPr>
        <w:spacing w:after="80"/>
      </w:pPr>
      <w:r>
        <w:rPr>
          <w:rFonts w:ascii="Arial" w:cs="Arial" w:eastAsia="Arial" w:hAnsi="Arial"/>
          <w:sz w:val="22"/>
          <w:szCs w:val="22"/>
        </w:rPr>
        <w:t xml:space="preserve">FR-2.4  –  The dead letter message SHALL include the original raw Kafka bytes, the Kafka topic/partition/offset, the error type, error message, and a timestamp.</w:t>
      </w:r>
    </w:p>
    <w:p>
      <w:pPr>
        <w:pStyle w:val="ListParagraph"/>
        <w:numPr>
          <w:ilvl w:val="0"/>
          <w:numId w:val="2"/>
        </w:numPr>
        <w:spacing w:after="80"/>
      </w:pPr>
      <w:r>
        <w:rPr>
          <w:rFonts w:ascii="Arial" w:cs="Arial" w:eastAsia="Arial" w:hAnsi="Arial"/>
          <w:sz w:val="22"/>
          <w:szCs w:val="22"/>
        </w:rPr>
        <w:t xml:space="preserve">FR-2.5  –  Pub/Sub message ordering keys SHALL be set to the transactionId field where available, to support ordered delivery for multi-event transactions.</w:t>
      </w:r>
    </w:p>
    <w:p>
      <w:pPr>
        <w:spacing w:after="80"/>
      </w:pPr>
      <w:r>
        <w:t xml:space="preserve"/>
      </w:r>
    </w:p>
    <w:p>
      <w:pPr>
        <w:pStyle w:val="Heading3"/>
      </w:pPr>
      <w:r>
        <w:rPr>
          <w:rFonts w:ascii="Arial" w:cs="Arial" w:eastAsia="Arial" w:hAnsi="Arial"/>
          <w:b/>
          <w:bCs/>
          <w:sz w:val="24"/>
          <w:szCs w:val="24"/>
        </w:rPr>
        <w:t xml:space="preserve">Non-Functional Requirements</w:t>
      </w:r>
    </w:p>
    <w:p>
      <w:pPr>
        <w:pStyle w:val="ListParagraph"/>
        <w:numPr>
          <w:ilvl w:val="0"/>
          <w:numId w:val="2"/>
        </w:numPr>
        <w:spacing w:after="80"/>
      </w:pPr>
      <w:r>
        <w:rPr>
          <w:rFonts w:ascii="Arial" w:cs="Arial" w:eastAsia="Arial" w:hAnsi="Arial"/>
          <w:sz w:val="22"/>
          <w:szCs w:val="22"/>
        </w:rPr>
        <w:t xml:space="preserve">NFR-2.1  –  The Pub/Sub publisher SHALL use the Google Cloud Pub/Sub client library batch settings with max_messages=100 and max_latency=0.1s to optimize throughput.</w:t>
      </w:r>
    </w:p>
    <w:p>
      <w:pPr>
        <w:pStyle w:val="ListParagraph"/>
        <w:numPr>
          <w:ilvl w:val="0"/>
          <w:numId w:val="2"/>
        </w:numPr>
        <w:spacing w:after="80"/>
      </w:pPr>
      <w:r>
        <w:rPr>
          <w:rFonts w:ascii="Arial" w:cs="Arial" w:eastAsia="Arial" w:hAnsi="Arial"/>
          <w:sz w:val="22"/>
          <w:szCs w:val="22"/>
        </w:rPr>
        <w:t xml:space="preserve">NFR-2.2  –  The service SHALL retry Pub/Sub publish failures up to 5 times with exponential backoff before routing to the dead letter topic.</w:t>
      </w:r>
    </w:p>
    <w:p>
      <w:pPr>
        <w:pStyle w:val="ListParagraph"/>
        <w:numPr>
          <w:ilvl w:val="0"/>
          <w:numId w:val="2"/>
        </w:numPr>
        <w:spacing w:after="80"/>
      </w:pPr>
      <w:r>
        <w:rPr>
          <w:rFonts w:ascii="Arial" w:cs="Arial" w:eastAsia="Arial" w:hAnsi="Arial"/>
          <w:sz w:val="22"/>
          <w:szCs w:val="22"/>
        </w:rPr>
        <w:t xml:space="preserve">NFR-2.3  –  Published messages SHALL include a message ID returned by Pub/Sub, which SHALL be logged alongside the Kafka offset for end-to-end traceability.</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payment-events Pub/Sub topic receives messages with correct attributes for all three rail types.</w:t>
      </w:r>
    </w:p>
    <w:p>
      <w:pPr>
        <w:pStyle w:val="ListParagraph"/>
        <w:numPr>
          <w:ilvl w:val="0"/>
          <w:numId w:val="3"/>
        </w:numPr>
        <w:spacing w:after="80"/>
      </w:pPr>
      <w:r>
        <w:rPr>
          <w:rFonts w:ascii="Arial" w:cs="Arial" w:eastAsia="Arial" w:hAnsi="Arial"/>
          <w:sz w:val="22"/>
          <w:szCs w:val="22"/>
        </w:rPr>
        <w:t xml:space="preserve">A downstream test subscriber filtering on rail_type = ZELLE only receives Zelle events.</w:t>
      </w:r>
    </w:p>
    <w:p>
      <w:pPr>
        <w:pStyle w:val="ListParagraph"/>
        <w:numPr>
          <w:ilvl w:val="0"/>
          <w:numId w:val="3"/>
        </w:numPr>
        <w:spacing w:after="80"/>
      </w:pPr>
      <w:r>
        <w:rPr>
          <w:rFonts w:ascii="Arial" w:cs="Arial" w:eastAsia="Arial" w:hAnsi="Arial"/>
          <w:sz w:val="22"/>
          <w:szCs w:val="22"/>
        </w:rPr>
        <w:t xml:space="preserve">A publish failure (simulated by revoking IAM permissions) causes the message to be routed to payment-events-dead-letter after retries are exhausted.</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3  –  Cloud Run Deployment</w:t>
      </w:r>
    </w:p>
    <w:p>
      <w:pPr>
        <w:spacing w:after="120"/>
      </w:pPr>
      <w:r>
        <w:rPr>
          <w:rFonts w:ascii="Arial" w:cs="Arial" w:eastAsia="Arial" w:hAnsi="Arial"/>
          <w:sz w:val="22"/>
          <w:szCs w:val="22"/>
        </w:rPr>
        <w:t xml:space="preserve">Containerize the Python bridge service and deploy it to Google Cloud Run with the appropriate runtime configuration.</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FR-3.1  –  The service SHALL be packaged as a Docker container using a Python 3.11 slim base image.</w:t>
      </w:r>
    </w:p>
    <w:p>
      <w:pPr>
        <w:pStyle w:val="ListParagraph"/>
        <w:numPr>
          <w:ilvl w:val="0"/>
          <w:numId w:val="2"/>
        </w:numPr>
        <w:spacing w:after="80"/>
      </w:pPr>
      <w:r>
        <w:rPr>
          <w:rFonts w:ascii="Arial" w:cs="Arial" w:eastAsia="Arial" w:hAnsi="Arial"/>
          <w:sz w:val="22"/>
          <w:szCs w:val="22"/>
        </w:rPr>
        <w:t xml:space="preserve">FR-3.2  –  The Cloud Run service SHALL be configured with min-instances = 1 to prevent consumer group rebalances due to cold starts.</w:t>
      </w:r>
    </w:p>
    <w:p>
      <w:pPr>
        <w:pStyle w:val="ListParagraph"/>
        <w:numPr>
          <w:ilvl w:val="0"/>
          <w:numId w:val="2"/>
        </w:numPr>
        <w:spacing w:after="80"/>
      </w:pPr>
      <w:r>
        <w:rPr>
          <w:rFonts w:ascii="Arial" w:cs="Arial" w:eastAsia="Arial" w:hAnsi="Arial"/>
          <w:sz w:val="22"/>
          <w:szCs w:val="22"/>
        </w:rPr>
        <w:t xml:space="preserve">FR-3.3  –  All secrets (Kafka credentials, SSL certs, GCP service account keys if needed) SHALL be mounted into the container at runtime via GCP Secret Manager volume mounts – never baked into the container image.</w:t>
      </w:r>
    </w:p>
    <w:p>
      <w:pPr>
        <w:pStyle w:val="ListParagraph"/>
        <w:numPr>
          <w:ilvl w:val="0"/>
          <w:numId w:val="2"/>
        </w:numPr>
        <w:spacing w:after="80"/>
      </w:pPr>
      <w:r>
        <w:rPr>
          <w:rFonts w:ascii="Arial" w:cs="Arial" w:eastAsia="Arial" w:hAnsi="Arial"/>
          <w:sz w:val="22"/>
          <w:szCs w:val="22"/>
        </w:rPr>
        <w:t xml:space="preserve">FR-3.4  –  The service SHALL expose a /healthz HTTP endpoint (port 8080) returning HTTP 200 when the Kafka consumer and Pub/Sub publisher are both healthy, used as the Cloud Run liveness probe.</w:t>
      </w:r>
    </w:p>
    <w:p>
      <w:pPr>
        <w:pStyle w:val="ListParagraph"/>
        <w:numPr>
          <w:ilvl w:val="0"/>
          <w:numId w:val="2"/>
        </w:numPr>
        <w:spacing w:after="80"/>
      </w:pPr>
      <w:r>
        <w:rPr>
          <w:rFonts w:ascii="Arial" w:cs="Arial" w:eastAsia="Arial" w:hAnsi="Arial"/>
          <w:sz w:val="22"/>
          <w:szCs w:val="22"/>
        </w:rPr>
        <w:t xml:space="preserve">FR-3.5  –  Environment-specific configuration (topic names, consumer group ID, log level) SHALL be managed via Cloud Run environment variables, not hardcoded in application code.</w:t>
      </w:r>
    </w:p>
    <w:p>
      <w:pPr>
        <w:pStyle w:val="ListParagraph"/>
        <w:numPr>
          <w:ilvl w:val="0"/>
          <w:numId w:val="2"/>
        </w:numPr>
        <w:spacing w:after="80"/>
      </w:pPr>
      <w:r>
        <w:rPr>
          <w:rFonts w:ascii="Arial" w:cs="Arial" w:eastAsia="Arial" w:hAnsi="Arial"/>
          <w:sz w:val="22"/>
          <w:szCs w:val="22"/>
        </w:rPr>
        <w:t xml:space="preserve">FR-3.6  –  The container image SHALL be built and pushed to Google Artifact Registry via a CI/CD pipeline.</w:t>
      </w:r>
    </w:p>
    <w:p>
      <w:pPr>
        <w:spacing w:after="80"/>
      </w:pPr>
      <w:r>
        <w:t xml:space="preserve"/>
      </w:r>
    </w:p>
    <w:p>
      <w:pPr>
        <w:pStyle w:val="Heading3"/>
      </w:pPr>
      <w:r>
        <w:rPr>
          <w:rFonts w:ascii="Arial" w:cs="Arial" w:eastAsia="Arial" w:hAnsi="Arial"/>
          <w:b/>
          <w:bCs/>
          <w:sz w:val="24"/>
          <w:szCs w:val="24"/>
        </w:rPr>
        <w:t xml:space="preserve">Non-Functional Requirements</w:t>
      </w:r>
    </w:p>
    <w:p>
      <w:pPr>
        <w:pStyle w:val="ListParagraph"/>
        <w:numPr>
          <w:ilvl w:val="0"/>
          <w:numId w:val="2"/>
        </w:numPr>
        <w:spacing w:after="80"/>
      </w:pPr>
      <w:r>
        <w:rPr>
          <w:rFonts w:ascii="Arial" w:cs="Arial" w:eastAsia="Arial" w:hAnsi="Arial"/>
          <w:sz w:val="22"/>
          <w:szCs w:val="22"/>
        </w:rPr>
        <w:t xml:space="preserve">NFR-3.1  –  Container image size SHALL be under 500 MB using multi-stage builds and a minimal base image.</w:t>
      </w:r>
    </w:p>
    <w:p>
      <w:pPr>
        <w:pStyle w:val="ListParagraph"/>
        <w:numPr>
          <w:ilvl w:val="0"/>
          <w:numId w:val="2"/>
        </w:numPr>
        <w:spacing w:after="80"/>
      </w:pPr>
      <w:r>
        <w:rPr>
          <w:rFonts w:ascii="Arial" w:cs="Arial" w:eastAsia="Arial" w:hAnsi="Arial"/>
          <w:sz w:val="22"/>
          <w:szCs w:val="22"/>
        </w:rPr>
        <w:t xml:space="preserve">NFR-3.2  –  Cloud Run SHALL be configured with CPU always allocated (not CPU throttled on idle) to maintain persistent Kafka connections.</w:t>
      </w:r>
    </w:p>
    <w:p>
      <w:pPr>
        <w:pStyle w:val="ListParagraph"/>
        <w:numPr>
          <w:ilvl w:val="0"/>
          <w:numId w:val="2"/>
        </w:numPr>
        <w:spacing w:after="80"/>
      </w:pPr>
      <w:r>
        <w:rPr>
          <w:rFonts w:ascii="Arial" w:cs="Arial" w:eastAsia="Arial" w:hAnsi="Arial"/>
          <w:sz w:val="22"/>
          <w:szCs w:val="22"/>
        </w:rPr>
        <w:t xml:space="preserve">NFR-3.3  –  Memory limit SHALL be set to 512 MB initially, with headroom for burst Kafka batch processing.</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Container image builds successfully via CI and is pushed to Artifact Registry.</w:t>
      </w:r>
    </w:p>
    <w:p>
      <w:pPr>
        <w:pStyle w:val="ListParagraph"/>
        <w:numPr>
          <w:ilvl w:val="0"/>
          <w:numId w:val="3"/>
        </w:numPr>
        <w:spacing w:after="80"/>
      </w:pPr>
      <w:r>
        <w:rPr>
          <w:rFonts w:ascii="Arial" w:cs="Arial" w:eastAsia="Arial" w:hAnsi="Arial"/>
          <w:sz w:val="22"/>
          <w:szCs w:val="22"/>
        </w:rPr>
        <w:t xml:space="preserve">Cloud Run service deploys and /healthz returns 200 within 30 seconds.</w:t>
      </w:r>
    </w:p>
    <w:p>
      <w:pPr>
        <w:pStyle w:val="ListParagraph"/>
        <w:numPr>
          <w:ilvl w:val="0"/>
          <w:numId w:val="3"/>
        </w:numPr>
        <w:spacing w:after="80"/>
      </w:pPr>
      <w:r>
        <w:rPr>
          <w:rFonts w:ascii="Arial" w:cs="Arial" w:eastAsia="Arial" w:hAnsi="Arial"/>
          <w:sz w:val="22"/>
          <w:szCs w:val="22"/>
        </w:rPr>
        <w:t xml:space="preserve">Restarting the service does not result in duplicate Pub/Sub messages beyond the at-least-once guarantee.</w:t>
      </w:r>
    </w:p>
    <w:p>
      <w:pPr>
        <w:pStyle w:val="ListParagraph"/>
        <w:numPr>
          <w:ilvl w:val="0"/>
          <w:numId w:val="3"/>
        </w:numPr>
        <w:spacing w:after="80"/>
      </w:pPr>
      <w:r>
        <w:rPr>
          <w:rFonts w:ascii="Arial" w:cs="Arial" w:eastAsia="Arial" w:hAnsi="Arial"/>
          <w:sz w:val="22"/>
          <w:szCs w:val="22"/>
        </w:rPr>
        <w:t xml:space="preserve">No secrets appear in container environment variables or image layers.</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4  –  Terraform Infrastructure as Code</w:t>
      </w:r>
    </w:p>
    <w:p>
      <w:pPr>
        <w:spacing w:after="120"/>
      </w:pPr>
      <w:r>
        <w:rPr>
          <w:rFonts w:ascii="Arial" w:cs="Arial" w:eastAsia="Arial" w:hAnsi="Arial"/>
          <w:sz w:val="22"/>
          <w:szCs w:val="22"/>
        </w:rPr>
        <w:t xml:space="preserve">Provision all GCP infrastructure required for the bridge service using Terraform, with remote state and modular structure.</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FR-4.1  –  Terraform SHALL provision the GCP Pub/Sub topic payment-events with default message retention of 7 days.</w:t>
      </w:r>
    </w:p>
    <w:p>
      <w:pPr>
        <w:pStyle w:val="ListParagraph"/>
        <w:numPr>
          <w:ilvl w:val="0"/>
          <w:numId w:val="2"/>
        </w:numPr>
        <w:spacing w:after="80"/>
      </w:pPr>
      <w:r>
        <w:rPr>
          <w:rFonts w:ascii="Arial" w:cs="Arial" w:eastAsia="Arial" w:hAnsi="Arial"/>
          <w:sz w:val="22"/>
          <w:szCs w:val="22"/>
        </w:rPr>
        <w:t xml:space="preserve">FR-4.2  –  Terraform SHALL provision the GCP Pub/Sub dead letter topic payment-events-dead-letter with message retention of 14 days.</w:t>
      </w:r>
    </w:p>
    <w:p>
      <w:pPr>
        <w:pStyle w:val="ListParagraph"/>
        <w:numPr>
          <w:ilvl w:val="0"/>
          <w:numId w:val="2"/>
        </w:numPr>
        <w:spacing w:after="80"/>
      </w:pPr>
      <w:r>
        <w:rPr>
          <w:rFonts w:ascii="Arial" w:cs="Arial" w:eastAsia="Arial" w:hAnsi="Arial"/>
          <w:sz w:val="22"/>
          <w:szCs w:val="22"/>
        </w:rPr>
        <w:t xml:space="preserve">FR-4.3  –  Terraform SHALL provision the Cloud Run service with all environment variables, min/max instance counts, and Secret Manager volume mounts.</w:t>
      </w:r>
    </w:p>
    <w:p>
      <w:pPr>
        <w:pStyle w:val="ListParagraph"/>
        <w:numPr>
          <w:ilvl w:val="0"/>
          <w:numId w:val="2"/>
        </w:numPr>
        <w:spacing w:after="80"/>
      </w:pPr>
      <w:r>
        <w:rPr>
          <w:rFonts w:ascii="Arial" w:cs="Arial" w:eastAsia="Arial" w:hAnsi="Arial"/>
          <w:sz w:val="22"/>
          <w:szCs w:val="22"/>
        </w:rPr>
        <w:t xml:space="preserve">FR-4.4  –  Terraform SHALL create a dedicated GCP Service Account for the bridge service with only the minimum required IAM roles: roles/pubsub.publisher, roles/secretmanager.secretAccessor, roles/run.invoker.</w:t>
      </w:r>
    </w:p>
    <w:p>
      <w:pPr>
        <w:pStyle w:val="ListParagraph"/>
        <w:numPr>
          <w:ilvl w:val="0"/>
          <w:numId w:val="2"/>
        </w:numPr>
        <w:spacing w:after="80"/>
      </w:pPr>
      <w:r>
        <w:rPr>
          <w:rFonts w:ascii="Arial" w:cs="Arial" w:eastAsia="Arial" w:hAnsi="Arial"/>
          <w:sz w:val="22"/>
          <w:szCs w:val="22"/>
        </w:rPr>
        <w:t xml:space="preserve">FR-4.5  –  Terraform SHALL provision all required Secret Manager secrets as empty placeholders. Secret values SHALL be populated out-of-band (not stored in Terraform state or source control).</w:t>
      </w:r>
    </w:p>
    <w:p>
      <w:pPr>
        <w:pStyle w:val="ListParagraph"/>
        <w:numPr>
          <w:ilvl w:val="0"/>
          <w:numId w:val="2"/>
        </w:numPr>
        <w:spacing w:after="80"/>
      </w:pPr>
      <w:r>
        <w:rPr>
          <w:rFonts w:ascii="Arial" w:cs="Arial" w:eastAsia="Arial" w:hAnsi="Arial"/>
          <w:sz w:val="22"/>
          <w:szCs w:val="22"/>
        </w:rPr>
        <w:t xml:space="preserve">FR-4.6  –  Terraform SHALL provision Cloud Monitoring alert policies for the operational metrics defined in Epic 5.</w:t>
      </w:r>
    </w:p>
    <w:p>
      <w:pPr>
        <w:pStyle w:val="ListParagraph"/>
        <w:numPr>
          <w:ilvl w:val="0"/>
          <w:numId w:val="2"/>
        </w:numPr>
        <w:spacing w:after="80"/>
      </w:pPr>
      <w:r>
        <w:rPr>
          <w:rFonts w:ascii="Arial" w:cs="Arial" w:eastAsia="Arial" w:hAnsi="Arial"/>
          <w:sz w:val="22"/>
          <w:szCs w:val="22"/>
        </w:rPr>
        <w:t xml:space="preserve">FR-4.7  –  Terraform state SHALL be stored in a GCS backend bucket with versioning enabled.</w:t>
      </w:r>
    </w:p>
    <w:p>
      <w:pPr>
        <w:pStyle w:val="ListParagraph"/>
        <w:numPr>
          <w:ilvl w:val="0"/>
          <w:numId w:val="2"/>
        </w:numPr>
        <w:spacing w:after="80"/>
      </w:pPr>
      <w:r>
        <w:rPr>
          <w:rFonts w:ascii="Arial" w:cs="Arial" w:eastAsia="Arial" w:hAnsi="Arial"/>
          <w:sz w:val="22"/>
          <w:szCs w:val="22"/>
        </w:rPr>
        <w:t xml:space="preserve">FR-4.8  –  The Terraform codebase SHALL be organized into modules: pubsub, cloud_run, iam, secrets, monitoring.</w:t>
      </w:r>
    </w:p>
    <w:p>
      <w:pPr>
        <w:spacing w:after="80"/>
      </w:pPr>
      <w:r>
        <w:t xml:space="preserve"/>
      </w:r>
    </w:p>
    <w:p>
      <w:pPr>
        <w:pStyle w:val="Heading3"/>
      </w:pPr>
      <w:r>
        <w:rPr>
          <w:rFonts w:ascii="Arial" w:cs="Arial" w:eastAsia="Arial" w:hAnsi="Arial"/>
          <w:b/>
          <w:bCs/>
          <w:sz w:val="24"/>
          <w:szCs w:val="24"/>
        </w:rPr>
        <w:t xml:space="preserve">Non-Functional Requirements</w:t>
      </w:r>
    </w:p>
    <w:p>
      <w:pPr>
        <w:pStyle w:val="ListParagraph"/>
        <w:numPr>
          <w:ilvl w:val="0"/>
          <w:numId w:val="2"/>
        </w:numPr>
        <w:spacing w:after="80"/>
      </w:pPr>
      <w:r>
        <w:rPr>
          <w:rFonts w:ascii="Arial" w:cs="Arial" w:eastAsia="Arial" w:hAnsi="Arial"/>
          <w:sz w:val="22"/>
          <w:szCs w:val="22"/>
        </w:rPr>
        <w:t xml:space="preserve">NFR-4.1  –  terraform plan SHALL produce zero changes on a freshly deployed environment (idempotency).</w:t>
      </w:r>
    </w:p>
    <w:p>
      <w:pPr>
        <w:pStyle w:val="ListParagraph"/>
        <w:numPr>
          <w:ilvl w:val="0"/>
          <w:numId w:val="2"/>
        </w:numPr>
        <w:spacing w:after="80"/>
      </w:pPr>
      <w:r>
        <w:rPr>
          <w:rFonts w:ascii="Arial" w:cs="Arial" w:eastAsia="Arial" w:hAnsi="Arial"/>
          <w:sz w:val="22"/>
          <w:szCs w:val="22"/>
        </w:rPr>
        <w:t xml:space="preserve">NFR-4.2  –  All Terraform resources SHALL be tagged with environment, project, and team labels.</w:t>
      </w:r>
    </w:p>
    <w:p>
      <w:pPr>
        <w:pStyle w:val="ListParagraph"/>
        <w:numPr>
          <w:ilvl w:val="0"/>
          <w:numId w:val="2"/>
        </w:numPr>
        <w:spacing w:after="80"/>
      </w:pPr>
      <w:r>
        <w:rPr>
          <w:rFonts w:ascii="Arial" w:cs="Arial" w:eastAsia="Arial" w:hAnsi="Arial"/>
          <w:sz w:val="22"/>
          <w:szCs w:val="22"/>
        </w:rPr>
        <w:t xml:space="preserve">NFR-4.3  –  The Terraform configuration SHALL support at least two workspaces: dev and prod.</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terraform apply from scratch provisions all required resources without errors.</w:t>
      </w:r>
    </w:p>
    <w:p>
      <w:pPr>
        <w:pStyle w:val="ListParagraph"/>
        <w:numPr>
          <w:ilvl w:val="0"/>
          <w:numId w:val="3"/>
        </w:numPr>
        <w:spacing w:after="80"/>
      </w:pPr>
      <w:r>
        <w:rPr>
          <w:rFonts w:ascii="Arial" w:cs="Arial" w:eastAsia="Arial" w:hAnsi="Arial"/>
          <w:sz w:val="22"/>
          <w:szCs w:val="22"/>
        </w:rPr>
        <w:t xml:space="preserve">Service account has exactly the minimum required IAM roles – no overpermissioning.</w:t>
      </w:r>
    </w:p>
    <w:p>
      <w:pPr>
        <w:pStyle w:val="ListParagraph"/>
        <w:numPr>
          <w:ilvl w:val="0"/>
          <w:numId w:val="3"/>
        </w:numPr>
        <w:spacing w:after="80"/>
      </w:pPr>
      <w:r>
        <w:rPr>
          <w:rFonts w:ascii="Arial" w:cs="Arial" w:eastAsia="Arial" w:hAnsi="Arial"/>
          <w:sz w:val="22"/>
          <w:szCs w:val="22"/>
        </w:rPr>
        <w:t xml:space="preserve">Destroying and re-applying produces identical infrastructure.</w:t>
      </w:r>
    </w:p>
    <w:p>
      <w:pPr>
        <w:pStyle w:val="ListParagraph"/>
        <w:numPr>
          <w:ilvl w:val="0"/>
          <w:numId w:val="3"/>
        </w:numPr>
        <w:spacing w:after="80"/>
      </w:pPr>
      <w:r>
        <w:rPr>
          <w:rFonts w:ascii="Arial" w:cs="Arial" w:eastAsia="Arial" w:hAnsi="Arial"/>
          <w:sz w:val="22"/>
          <w:szCs w:val="22"/>
        </w:rPr>
        <w:t xml:space="preserve">No secret values are stored in Terraform state or .tfvars files committed to source control.</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5  –  Observability &amp; Operations</w:t>
      </w:r>
    </w:p>
    <w:p>
      <w:pPr>
        <w:spacing w:after="120"/>
      </w:pPr>
      <w:r>
        <w:rPr>
          <w:rFonts w:ascii="Arial" w:cs="Arial" w:eastAsia="Arial" w:hAnsi="Arial"/>
          <w:sz w:val="22"/>
          <w:szCs w:val="22"/>
        </w:rPr>
        <w:t xml:space="preserve">Implement structured logging, metrics, and alerting to ensure the bridge service is fully observable in production.</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FR-5.1  –  The service SHALL emit structured JSON logs to stdout, captured by Cloud Logging. Each log entry SHALL include: timestamp, severity, eventId, pmtRailType, paymentStatus, kafka_offset, pubsub_message_id, and processing_duration_ms.</w:t>
      </w:r>
    </w:p>
    <w:p>
      <w:pPr>
        <w:pStyle w:val="ListParagraph"/>
        <w:numPr>
          <w:ilvl w:val="0"/>
          <w:numId w:val="2"/>
        </w:numPr>
        <w:spacing w:after="80"/>
      </w:pPr>
      <w:r>
        <w:rPr>
          <w:rFonts w:ascii="Arial" w:cs="Arial" w:eastAsia="Arial" w:hAnsi="Arial"/>
          <w:sz w:val="22"/>
          <w:szCs w:val="22"/>
        </w:rPr>
        <w:t xml:space="preserve">FR-5.2  –  The service SHALL emit custom metrics to Cloud Monitoring using the OpenTelemetry SDK: messages_consumed_total (by rail_type), messages_published_total (by rail_type), messages_dead_lettered_total, publish_latency_ms (histogram), kafka_consumer_lag.</w:t>
      </w:r>
    </w:p>
    <w:p>
      <w:pPr>
        <w:pStyle w:val="ListParagraph"/>
        <w:numPr>
          <w:ilvl w:val="0"/>
          <w:numId w:val="2"/>
        </w:numPr>
        <w:spacing w:after="80"/>
      </w:pPr>
      <w:r>
        <w:rPr>
          <w:rFonts w:ascii="Arial" w:cs="Arial" w:eastAsia="Arial" w:hAnsi="Arial"/>
          <w:sz w:val="22"/>
          <w:szCs w:val="22"/>
        </w:rPr>
        <w:t xml:space="preserve">FR-5.3  –  Cloud Monitoring alert policies SHALL be configured for: consumer lag &gt; 1000 messages for 5 minutes, dead letter topic message count &gt; 10 in 1 hour, Cloud Run error rate &gt; 1% over 5 minutes, Cloud Run instance count = 0 for &gt; 60 seconds.</w:t>
      </w:r>
    </w:p>
    <w:p>
      <w:pPr>
        <w:pStyle w:val="ListParagraph"/>
        <w:numPr>
          <w:ilvl w:val="0"/>
          <w:numId w:val="2"/>
        </w:numPr>
        <w:spacing w:after="80"/>
      </w:pPr>
      <w:r>
        <w:rPr>
          <w:rFonts w:ascii="Arial" w:cs="Arial" w:eastAsia="Arial" w:hAnsi="Arial"/>
          <w:sz w:val="22"/>
          <w:szCs w:val="22"/>
        </w:rPr>
        <w:t xml:space="preserve">FR-5.4  –  A Cloud Monitoring dashboard SHALL be created displaying all key metrics in a single pane of glass.</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Cloud Logging shows structured log entries for every consumed and published message.</w:t>
      </w:r>
    </w:p>
    <w:p>
      <w:pPr>
        <w:pStyle w:val="ListParagraph"/>
        <w:numPr>
          <w:ilvl w:val="0"/>
          <w:numId w:val="3"/>
        </w:numPr>
        <w:spacing w:after="80"/>
      </w:pPr>
      <w:r>
        <w:rPr>
          <w:rFonts w:ascii="Arial" w:cs="Arial" w:eastAsia="Arial" w:hAnsi="Arial"/>
          <w:sz w:val="22"/>
          <w:szCs w:val="22"/>
        </w:rPr>
        <w:t xml:space="preserve">Cloud Monitoring dashboard displays all five metric series with live data.</w:t>
      </w:r>
    </w:p>
    <w:p>
      <w:pPr>
        <w:pStyle w:val="ListParagraph"/>
        <w:numPr>
          <w:ilvl w:val="0"/>
          <w:numId w:val="3"/>
        </w:numPr>
        <w:spacing w:after="80"/>
      </w:pPr>
      <w:r>
        <w:rPr>
          <w:rFonts w:ascii="Arial" w:cs="Arial" w:eastAsia="Arial" w:hAnsi="Arial"/>
          <w:sz w:val="22"/>
          <w:szCs w:val="22"/>
        </w:rPr>
        <w:t xml:space="preserve">Injecting 15 dead letter messages triggers a Cloud Monitoring alert within 5 minutes.</w:t>
      </w:r>
    </w:p>
    <w:p>
      <w:pPr>
        <w:spacing w:after="80"/>
      </w:pPr>
      <w:r>
        <w:t xml:space="preserve"/>
      </w:r>
    </w:p>
    <w:p>
      <w:pPr>
        <w:pBdr>
          <w:bottom w:val="single" w:color="2C5F8A" w:sz="4" w:space="1"/>
        </w:pBdr>
        <w:spacing w:after="80" w:before="80"/>
      </w:pPr>
      <w:r>
        <w:t xml:space="preserve"/>
      </w:r>
    </w:p>
    <w:p>
      <w:pPr>
        <w:shd w:fill="2C5F8A" w:val="clear"/>
        <w:spacing w:after="80" w:before="160"/>
      </w:pPr>
      <w:r>
        <w:rPr>
          <w:rFonts w:ascii="Arial" w:cs="Arial" w:eastAsia="Arial" w:hAnsi="Arial"/>
          <w:b/>
          <w:bCs/>
          <w:color w:val="FFFFFF"/>
          <w:sz w:val="26"/>
          <w:szCs w:val="26"/>
        </w:rPr>
        <w:t xml:space="preserve">  EPIC 6  –  Testing &amp; Quality Assurance</w:t>
      </w:r>
    </w:p>
    <w:p>
      <w:pPr>
        <w:spacing w:after="120"/>
      </w:pPr>
      <w:r>
        <w:rPr>
          <w:rFonts w:ascii="Arial" w:cs="Arial" w:eastAsia="Arial" w:hAnsi="Arial"/>
          <w:sz w:val="22"/>
          <w:szCs w:val="22"/>
        </w:rPr>
        <w:t xml:space="preserve">Define and implement the test strategy for the bridge service, covering unit, integration, and end-to-end test scenarios.</w:t>
      </w:r>
    </w:p>
    <w:p>
      <w:pPr>
        <w:spacing w:after="80"/>
      </w:pPr>
      <w:r>
        <w:t xml:space="preserve"/>
      </w:r>
    </w:p>
    <w:p>
      <w:pPr>
        <w:pStyle w:val="Heading3"/>
      </w:pPr>
      <w:r>
        <w:rPr>
          <w:rFonts w:ascii="Arial" w:cs="Arial" w:eastAsia="Arial" w:hAnsi="Arial"/>
          <w:b/>
          <w:bCs/>
          <w:sz w:val="24"/>
          <w:szCs w:val="24"/>
        </w:rPr>
        <w:t xml:space="preserve">Functional Requirements</w:t>
      </w:r>
    </w:p>
    <w:p>
      <w:pPr>
        <w:pStyle w:val="ListParagraph"/>
        <w:numPr>
          <w:ilvl w:val="0"/>
          <w:numId w:val="2"/>
        </w:numPr>
        <w:spacing w:after="80"/>
      </w:pPr>
      <w:r>
        <w:rPr>
          <w:rFonts w:ascii="Arial" w:cs="Arial" w:eastAsia="Arial" w:hAnsi="Arial"/>
          <w:sz w:val="22"/>
          <w:szCs w:val="22"/>
        </w:rPr>
        <w:t xml:space="preserve">FR-6.1  –  Unit tests SHALL cover: JSON schema validation logic, Pub/Sub attribute mapping, dead letter routing logic, health check endpoint, rail type filtering.</w:t>
      </w:r>
    </w:p>
    <w:p>
      <w:pPr>
        <w:pStyle w:val="ListParagraph"/>
        <w:numPr>
          <w:ilvl w:val="0"/>
          <w:numId w:val="2"/>
        </w:numPr>
        <w:spacing w:after="80"/>
      </w:pPr>
      <w:r>
        <w:rPr>
          <w:rFonts w:ascii="Arial" w:cs="Arial" w:eastAsia="Arial" w:hAnsi="Arial"/>
          <w:sz w:val="22"/>
          <w:szCs w:val="22"/>
        </w:rPr>
        <w:t xml:space="preserve">FR-6.2  –  Integration tests SHALL use a local Kafka instance (e.g. via Testcontainers or docker-compose) to validate the full consume → publish flow end-to-end without GCP dependencies.</w:t>
      </w:r>
    </w:p>
    <w:p>
      <w:pPr>
        <w:pStyle w:val="ListParagraph"/>
        <w:numPr>
          <w:ilvl w:val="0"/>
          <w:numId w:val="2"/>
        </w:numPr>
        <w:spacing w:after="80"/>
      </w:pPr>
      <w:r>
        <w:rPr>
          <w:rFonts w:ascii="Arial" w:cs="Arial" w:eastAsia="Arial" w:hAnsi="Arial"/>
          <w:sz w:val="22"/>
          <w:szCs w:val="22"/>
        </w:rPr>
        <w:t xml:space="preserve">FR-6.3  –  A staging environment test SHALL validate connectivity to the JH EES Kafka cluster using synthetic test events provided by the JH integration team.</w:t>
      </w:r>
    </w:p>
    <w:p>
      <w:pPr>
        <w:pStyle w:val="ListParagraph"/>
        <w:numPr>
          <w:ilvl w:val="0"/>
          <w:numId w:val="2"/>
        </w:numPr>
        <w:spacing w:after="80"/>
      </w:pPr>
      <w:r>
        <w:rPr>
          <w:rFonts w:ascii="Arial" w:cs="Arial" w:eastAsia="Arial" w:hAnsi="Arial"/>
          <w:sz w:val="22"/>
          <w:szCs w:val="22"/>
        </w:rPr>
        <w:t xml:space="preserve">FR-6.4  –  Test coverage SHALL be measured and SHALL be no less than 80% for the core application logic.</w:t>
      </w:r>
    </w:p>
    <w:p>
      <w:pPr>
        <w:spacing w:after="80"/>
      </w:pPr>
      <w:r>
        <w:t xml:space="preserve"/>
      </w:r>
    </w:p>
    <w:p>
      <w:pPr>
        <w:pStyle w:val="Heading3"/>
      </w:pPr>
      <w:r>
        <w:rPr>
          <w:rFonts w:ascii="Arial" w:cs="Arial" w:eastAsia="Arial" w:hAnsi="Arial"/>
          <w:b/>
          <w:bCs/>
          <w:sz w:val="24"/>
          <w:szCs w:val="24"/>
        </w:rPr>
        <w:t xml:space="preserve">Acceptance Criteria</w:t>
      </w:r>
    </w:p>
    <w:p>
      <w:pPr>
        <w:pStyle w:val="ListParagraph"/>
        <w:numPr>
          <w:ilvl w:val="0"/>
          <w:numId w:val="3"/>
        </w:numPr>
        <w:spacing w:after="80"/>
      </w:pPr>
      <w:r>
        <w:rPr>
          <w:rFonts w:ascii="Arial" w:cs="Arial" w:eastAsia="Arial" w:hAnsi="Arial"/>
          <w:sz w:val="22"/>
          <w:szCs w:val="22"/>
        </w:rPr>
        <w:t xml:space="preserve">pytest passes with ≥80% coverage on CI for every pull request.</w:t>
      </w:r>
    </w:p>
    <w:p>
      <w:pPr>
        <w:pStyle w:val="ListParagraph"/>
        <w:numPr>
          <w:ilvl w:val="0"/>
          <w:numId w:val="3"/>
        </w:numPr>
        <w:spacing w:after="80"/>
      </w:pPr>
      <w:r>
        <w:rPr>
          <w:rFonts w:ascii="Arial" w:cs="Arial" w:eastAsia="Arial" w:hAnsi="Arial"/>
          <w:sz w:val="22"/>
          <w:szCs w:val="22"/>
        </w:rPr>
        <w:t xml:space="preserve">Integration test suite passes against a local Kafka + mock Pub/Sub environment.</w:t>
      </w:r>
    </w:p>
    <w:p>
      <w:pPr>
        <w:pStyle w:val="ListParagraph"/>
        <w:numPr>
          <w:ilvl w:val="0"/>
          <w:numId w:val="3"/>
        </w:numPr>
        <w:spacing w:after="80"/>
      </w:pPr>
      <w:r>
        <w:rPr>
          <w:rFonts w:ascii="Arial" w:cs="Arial" w:eastAsia="Arial" w:hAnsi="Arial"/>
          <w:sz w:val="22"/>
          <w:szCs w:val="22"/>
        </w:rPr>
        <w:t xml:space="preserve">Staging connectivity test produces at least one confirmed end-to-end message flow per rail type.</w:t>
      </w:r>
    </w:p>
    <w:p>
      <w:pPr>
        <w:spacing w:after="80"/>
      </w:pPr>
      <w:r>
        <w:t xml:space="preserve"/>
      </w:r>
    </w:p>
    <w:p>
      <w:r>
        <w:br w:type="page"/>
      </w:r>
    </w:p>
    <w:p>
      <w:pPr>
        <w:pStyle w:val="Heading1"/>
      </w:pPr>
      <w:r>
        <w:rPr>
          <w:rFonts w:ascii="Arial" w:cs="Arial" w:eastAsia="Arial" w:hAnsi="Arial"/>
          <w:b/>
          <w:bCs/>
          <w:sz w:val="32"/>
          <w:szCs w:val="32"/>
        </w:rPr>
        <w:t xml:space="preserve">6. Open Questions &amp; Assumptions</w:t>
      </w:r>
    </w:p>
    <w:p>
      <w:pPr>
        <w:pBdr>
          <w:bottom w:val="single" w:color="2C5F8A"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000"/>
        <w:gridCol w:w="5000"/>
      </w:tblGrid>
      <w:tr>
        <w:tc>
          <w:tcPr>
            <w:tcW w:type="dxa" w:w="3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Question / Assumption</w:t>
            </w:r>
          </w:p>
        </w:tc>
        <w:tc>
          <w:tcPr>
            <w:tcW w:type="dxa" w:w="50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Kafka broker hostname(s), port, and topic name for Event 800 need to be confirmed with the JH integration team.</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Obtain Kafka connection details from JH. Confirm SASL mechanism (PLAIN vs SCRAM-SHA-512).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exact JSON field names and enum values in Event 800 payloads have not been validated against the live JH EES spec.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access to jackhenry.dev developer portal and review the Event 800 schema documentation.</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 is assumed that Event 800 is published per payment status transition (i.e., one message per PENDING, PROCESSING, COMPLETED). This needs confirmation.</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Confirm event emission cadence with JH: one event per lifecycle transition, or only terminal states?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path from Cloud Run to JH Kafka cluster is unknown. May require VPC peering or a site-to-site VPN.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 network/infra team to assess connectivity requirements. Provision VPC connector if needed.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SSL certificate handling for Kafka mTLS is not yet defined. JH may require client certificates.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Request Kafka SSL/TLS requirements from JH. Store any client certs in Secret Manager.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is assumed that Zelle events are routed through PayCenter EES alongside RTP and FedNow. Zelle may use a different integration path.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with JH whether Zelle events are published on the same Kafka topic as RTP and FedNow.</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7</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GCP project IDs, region, and naming conventions are not yet defined.
      </w:t>
            </w:r>
          </w:p>
        </w:tc>
      </w:tr>
      <w:tr>
        <w:tc>
          <w:tcPr>
            <w:tcBorders>
              <w:top w:val="single" w:sz="1" w:color="CCCCCC"/>
              <w:bottom w:val="single" w:sz="1" w:color="CCCCCC"/>
              <w:left w:val="single" w:sz="1" w:color="CCCCCC"/>
              <w:right w:val="single" w:sz="1" w:color="CCCCCC"/>
            </w:tcBorders>
            <w:shading w:fill="F5F5F5" w:val="clear"/>
            <w:tcMar>
              <w:top w:type="dxa" w:w="80"/>
              <w:left w:type="dxa" w:w="120"/>
              <w:bottom w:type="dxa" w:w="80"/>
              <w:right w:type="dxa" w:w="120"/>
            </w:tcMar>
          </w:tcPr>
          <w:p>
            <w:r>
              <w:rPr>
                <w:rFonts w:ascii="Arial" w:cs="Arial" w:eastAsia="Arial" w:hAnsi="Arial"/>
                <w:b/>
                <w:sz w:val="20"/>
                <w:szCs w:val="20"/>
              </w:rPr>
              <w:t xml:space="preserve">8</w:t>
            </w:r>
          </w:p>
        </w:tc>
        <w:tc>
          <w:tcPr>
            <w:tcBorders>
              <w:top w:val="single" w:sz="1" w:color="CCCCCC"/>
              <w:bottom w:val="single" w:sz="1" w:color="CCCCCC"/>
              <w:left w:val="single" w:sz="1" w:color="CCCCCC"/>
              <w:right w:val="single" w:sz="1" w:color="CCCCCC"/>
            </w:tcBorders>
            <w:shading w:fill="F5F5F5" w:val="clear"/>
            <w:tcMar>
              <w:top w:type="dxa" w:w="80"/>
              <w:left w:type="dxa" w:w="120"/>
              <w:bottom w:type="dxa" w:w="80"/>
              <w:right w:type="dxa" w:w="120"/>
            </w:tcMar>
          </w:tcPr>
          <w:p>
            <w:r>
              <w:rPr>
                <w:rFonts w:ascii="Arial" w:cs="Arial" w:eastAsia="Arial" w:hAnsi="Arial"/>
                <w:sz w:val="20"/>
                <w:szCs w:val="20"/>
              </w:rPr>
              <w:t xml:space="preserve">PII tokenization approach is not yet decided. Candidate options include Google Cloud DLP, HashiCorp Vault Transit, format-preserving encryption (FPE), or HMAC-SHA256. Choice affects latency, reversibility, infrastructure cost, and audit requirements.</w:t>
            </w:r>
          </w:p>
        </w:tc>
        <w:tc>
          <w:tcPr>
            <w:tcBorders>
              <w:top w:val="single" w:sz="1" w:color="CCCCCC"/>
              <w:bottom w:val="single" w:sz="1" w:color="CCCCCC"/>
              <w:left w:val="single" w:sz="1" w:color="CCCCCC"/>
              <w:right w:val="single" w:sz="1" w:color="CCCCCC"/>
            </w:tcBorders>
            <w:shading w:fill="F5F5F5" w:val="clear"/>
            <w:tcMar>
              <w:top w:type="dxa" w:w="80"/>
              <w:left w:type="dxa" w:w="120"/>
              <w:bottom w:type="dxa" w:w="80"/>
              <w:right w:type="dxa" w:w="120"/>
            </w:tcMar>
          </w:tcPr>
          <w:p>
            <w:r>
              <w:rPr>
                <w:rFonts w:ascii="Arial" w:cs="Arial" w:eastAsia="Arial" w:hAnsi="Arial"/>
                <w:sz w:val="20"/>
                <w:szCs w:val="20"/>
              </w:rPr>
              <w:t xml:space="preserve">Architecture review required before STORY-1.7 can be started. Decision must cover: determinism, reversibility, latency target, key management, and audit logging requirements.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Agree on GCP project, region (us-central1?), and resource naming conventions before Terraform work begins.</w:t>
            </w:r>
          </w:p>
        </w:tc>
      </w:tr>
    </w:tbl>
    <w:p>
      <w:pPr>
        <w:spacing w:after="80"/>
      </w:pPr>
      <w:r>
        <w:t xml:space="preserve"/>
      </w:r>
    </w:p>
    <w:p>
      <w:pPr>
        <w:pStyle w:val="Heading1"/>
      </w:pPr>
      <w:r>
        <w:rPr>
          <w:rFonts w:ascii="Arial" w:cs="Arial" w:eastAsia="Arial" w:hAnsi="Arial"/>
          <w:b/>
          <w:bCs/>
          <w:sz w:val="32"/>
          <w:szCs w:val="32"/>
        </w:rPr>
        <w:t xml:space="preserve">7. Technology Stack</w:t>
      </w:r>
    </w:p>
    <w:p>
      <w:pPr>
        <w:pBdr>
          <w:bottom w:val="single" w:color="2C5F8A"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LTS release. Type hints enforced. Poetry for dependency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Kafka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confluent-kafka-python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Confluent client. librdkafka-backed for performance.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Pub/Sub Client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google-cloud-pubsub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Official GCP client library. Use PublisherClient with batch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HTTP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FastAPI app to expose /healthz endpoint alongside the consumer loop.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Metrics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OpenTelemetry + GCP exporter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opentelemetry-sdk + opentelemetry-exporter-gcp-monitoring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Containerization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python:3.11-slim base. Multi-stage build to minimize image size.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Container Registry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GCP Artifact Registry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Per-environment repositories (dev, prod).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&gt;= 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hashicorp/google provider. Remote state in GCS.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Secrets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GCP Secret Manager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Kafka credentials, SSL certs. Accessed via env var or volume mount at Cloud Run startup.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 Testcontainers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for unit and integration tests. Testcontainers for local Kafka.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TBD (GitHub Actions / Cloud Build)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 Test → Push image → Deploy to Cloud Run via terraform apply or gcloud run deploy.</w:t>
            </w:r>
          </w:p>
        </w:tc>
      </w:tr>
    </w:tbl>
    <w:p>
      <w:pPr>
        <w:spacing w:after="80"/>
      </w:pPr>
      <w:r>
        <w:t xml:space="preserve"/>
      </w:r>
    </w:p>
    <w:p>
      <w:pPr>
        <w:pStyle w:val="Heading1"/>
      </w:pPr>
      <w:r>
        <w:rPr>
          <w:rFonts w:ascii="Arial" w:cs="Arial" w:eastAsia="Arial" w:hAnsi="Arial"/>
          <w:b/>
          <w:bCs/>
          <w:sz w:val="32"/>
          <w:szCs w:val="32"/>
        </w:rPr>
        <w:t xml:space="preserve">8. Glossary</w:t>
      </w:r>
    </w:p>
    <w:p>
      <w:pPr>
        <w:pBdr>
          <w:bottom w:val="single" w:color="2C5F8A"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Jack Henry Enterprise Event System – the pub/sub backbone used by JHA products to emit real-time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 800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PayCenter EES event type for Payment Hub Activity Notifications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FedNow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Federal Reserve instant payment service enabling real-time interbank fund transfers 24/7/365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RTP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Payments network operated by The Clearing House (TCH) for instant credit transfers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Zelle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Person-to-person and business payment network operated by Early Warning Services, integrated into PayCenter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PayCenter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JHA’s faster payments hub that routes and processes payments across Zelle, RTP, and FedNow rails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DLT / DLQ</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Dead Letter Topic / Dead Letter Queue – destination for messages that cannot be processed successfully after retries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ISO 20022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standard for financial messaging used by FedNow and RTP for structured payment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Pub/Sub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Cloud Pub/Sub – managed asynchronous messaging service used as the event fan-out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Cloud Run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Cloud’s fully managed serverless container execution environment</w:t>
            </w:r>
          </w:p>
        </w:tc>
      </w:tr>
    </w:tbl>
    <w:p>
      <w:pPr>
        <w:spacing w:after="80"/>
      </w:pPr>
      <w:r>
        <w:t xml:space="preserve"/>
      </w:r>
    </w:p>
    <w:p>
      <w:pPr>
        <w:spacing w:after="80"/>
      </w:pPr>
      <w:r>
        <w:t xml:space="preserve"/>
      </w:r>
    </w:p>
    <w:p>
      <w:pPr>
        <w:spacing w:after="120"/>
      </w:pPr>
      <w:r>
        <w:rPr>
          <w:rFonts w:ascii="Arial" w:cs="Arial" w:eastAsia="Arial" w:hAnsi="Arial"/>
          <w:i/>
          <w:iCs/>
          <w:color w:val="AAAAAA"/>
          <w:sz w:val="22"/>
          <w:szCs w:val="22"/>
        </w:rPr>
        <w:t xml:space="preserve">End of Document</w:t>
      </w:r>
    </w:p>
    <w:p>
      <w:r>
        <w:br w:type="page"/>
      </w:r>
    </w:p>
    <w:p>
      <w:pPr>
        <w:pStyle w:val="Heading1"/>
        <w:spacing w:before="320" w:after="160"/>
        <w:outlineLvl w:val="0"/>
      </w:pPr>
      <w:r>
        <w:rPr>
          <w:rFonts w:ascii="Arial" w:cs="Arial" w:eastAsia="Arial" w:hAnsi="Arial"/>
          <w:b/>
          <w:color w:val="2C5F8A"/>
          <w:sz w:val="32"/>
          <w:szCs w:val="32"/>
        </w:rPr>
        <w:t xml:space="preserve">Appendix A – JH PayCenter Integration Questions</w:t>
      </w:r>
    </w:p>
    <w:p>
      <w:pPr>
        <w:pBdr>
          <w:bottom w:val="single" w:sz="4" w:space="1" w:color="2C5F8A"/>
        </w:pBdr>
        <w:spacing w:before="80" w:after="80"/>
      </w:pPr>
      <w:r>
        <w:t xml:space="preserve"/>
      </w:r>
    </w:p>
    <w:p>
      <w:pPr>
        <w:spacing w:after="120"/>
      </w:pPr>
      <w:r>
        <w:rPr>
          <w:rFonts w:ascii="Arial" w:cs="Arial" w:eastAsia="Arial" w:hAnsi="Arial"/>
          <w:sz w:val="22"/>
          <w:szCs w:val="22"/>
        </w:rPr>
        <w:t xml:space="preserve">The following questions should be directed to the Jack Henry PayCenter integration team prior to development beginning on Epic 1 and Epic 2. Answers will be used to finalise the event schema (Section 4), resolve the open items in Section 6, and complete the Kafka consumer configuration.</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A.1 – Event Schema</w:t>
      </w:r>
    </w:p>
    <w:p>
      <w:pPr>
        <w:numPr>
          <w:ilvl w:val="0"/>
          <w:numId w:val="2"/>
        </w:numPr>
        <w:spacing w:after="100"/>
      </w:pPr>
      <w:r>
        <w:rPr>
          <w:rFonts w:ascii="Arial" w:cs="Arial" w:eastAsia="Arial" w:hAnsi="Arial"/>
          <w:sz w:val="22"/>
          <w:szCs w:val="22"/>
        </w:rPr>
        <w:t xml:space="preserve">Can you share the full JSON schema for Event 800 (Payment Hub Activity Notifications), including all field names, data types, and valid enum values?</w:t>
      </w:r>
    </w:p>
    <w:p>
      <w:pPr>
        <w:numPr>
          <w:ilvl w:val="0"/>
          <w:numId w:val="2"/>
        </w:numPr>
        <w:spacing w:after="100"/>
      </w:pPr>
      <w:r>
        <w:rPr>
          <w:rFonts w:ascii="Arial" w:cs="Arial" w:eastAsia="Arial" w:hAnsi="Arial"/>
          <w:sz w:val="22"/>
          <w:szCs w:val="22"/>
        </w:rPr>
        <w:t xml:space="preserve">Does the Event 800 payload structure differ by rail type (Zelle, RTP, FedNow), or is there a single normalised schema across all three rails?</w:t>
      </w:r>
    </w:p>
    <w:p>
      <w:pPr>
        <w:numPr>
          <w:ilvl w:val="0"/>
          <w:numId w:val="2"/>
        </w:numPr>
        <w:spacing w:after="100"/>
      </w:pPr>
      <w:r>
        <w:rPr>
          <w:rFonts w:ascii="Arial" w:cs="Arial" w:eastAsia="Arial" w:hAnsi="Arial"/>
          <w:sz w:val="22"/>
          <w:szCs w:val="22"/>
        </w:rPr>
        <w:t xml:space="preserve">Can you provide sanitised sample payloads for each rail type and each payment status transition (e.g. PENDING → PROCESSING → COMPLETED, as well as FAILED and RETURNED scenarios)?</w:t>
      </w:r>
    </w:p>
    <w:p>
      <w:pPr>
        <w:numPr>
          <w:ilvl w:val="0"/>
          <w:numId w:val="2"/>
        </w:numPr>
        <w:spacing w:after="100"/>
      </w:pPr>
      <w:r>
        <w:rPr>
          <w:rFonts w:ascii="Arial" w:cs="Arial" w:eastAsia="Arial" w:hAnsi="Arial"/>
          <w:sz w:val="22"/>
          <w:szCs w:val="22"/>
        </w:rPr>
        <w:t xml:space="preserve">Is one event emitted per status transition throughout the full payment lifecycle, or only on terminal states (COMPLETED, FAILED, RETURNED)?</w:t>
      </w:r>
    </w:p>
    <w:p>
      <w:pPr>
        <w:numPr>
          <w:ilvl w:val="0"/>
          <w:numId w:val="2"/>
        </w:numPr>
        <w:spacing w:after="100"/>
      </w:pPr>
      <w:r>
        <w:rPr>
          <w:rFonts w:ascii="Arial" w:cs="Arial" w:eastAsia="Arial" w:hAnsi="Arial"/>
          <w:sz w:val="22"/>
          <w:szCs w:val="22"/>
        </w:rPr>
        <w:t xml:space="preserve">Are return reason codes and ISO 20022 status reason codes included in the payload for FAILED or RETURNED events? If so, which code sets are used per rail?</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A.2 – Kafka Stream Subscription</w:t>
      </w:r>
    </w:p>
    <w:p>
      <w:pPr>
        <w:numPr>
          <w:ilvl w:val="0"/>
          <w:numId w:val="2"/>
        </w:numPr>
        <w:spacing w:after="100"/>
      </w:pPr>
      <w:r>
        <w:rPr>
          <w:rFonts w:ascii="Arial" w:cs="Arial" w:eastAsia="Arial" w:hAnsi="Arial"/>
          <w:sz w:val="22"/>
          <w:szCs w:val="22"/>
        </w:rPr>
        <w:t xml:space="preserve">What are the Kafka broker hostname(s), port, and topic name(s) for Event 800? Are separate topics used per rail type or is it a single shared topic?</w:t>
      </w:r>
    </w:p>
    <w:p>
      <w:pPr>
        <w:numPr>
          <w:ilvl w:val="0"/>
          <w:numId w:val="2"/>
        </w:numPr>
        <w:spacing w:after="100"/>
      </w:pPr>
      <w:r>
        <w:rPr>
          <w:rFonts w:ascii="Arial" w:cs="Arial" w:eastAsia="Arial" w:hAnsi="Arial"/>
          <w:sz w:val="22"/>
          <w:szCs w:val="22"/>
        </w:rPr>
        <w:t xml:space="preserve">What authentication and security mechanism is in use – SASL/PLAIN, SCRAM-SHA-512, or mTLS with client certificates? If mTLS, what is the process for obtaining and renewing client certificates?</w:t>
      </w:r>
    </w:p>
    <w:p>
      <w:pPr>
        <w:numPr>
          <w:ilvl w:val="0"/>
          <w:numId w:val="2"/>
        </w:numPr>
        <w:spacing w:after="100"/>
      </w:pPr>
      <w:r>
        <w:rPr>
          <w:rFonts w:ascii="Arial" w:cs="Arial" w:eastAsia="Arial" w:hAnsi="Arial"/>
          <w:sz w:val="22"/>
          <w:szCs w:val="22"/>
        </w:rPr>
        <w:t xml:space="preserve">Is there a Schema Registry? If so, what is the endpoint and serialisation format (Avro, JSON Schema, or Protobuf)?</w:t>
      </w:r>
    </w:p>
    <w:p>
      <w:pPr>
        <w:numPr>
          <w:ilvl w:val="0"/>
          <w:numId w:val="2"/>
        </w:numPr>
        <w:spacing w:after="100"/>
      </w:pPr>
      <w:r>
        <w:rPr>
          <w:rFonts w:ascii="Arial" w:cs="Arial" w:eastAsia="Arial" w:hAnsi="Arial"/>
          <w:sz w:val="22"/>
          <w:szCs w:val="22"/>
        </w:rPr>
        <w:t xml:space="preserve">What is the recommended consumer group naming convention, and are there any restrictions on the number of concurrent consumer instances or partitions?</w:t>
      </w:r>
    </w:p>
    <w:p>
      <w:pPr>
        <w:numPr>
          <w:ilvl w:val="0"/>
          <w:numId w:val="2"/>
        </w:numPr>
        <w:spacing w:after="100"/>
      </w:pPr>
      <w:r>
        <w:rPr>
          <w:rFonts w:ascii="Arial" w:cs="Arial" w:eastAsia="Arial" w:hAnsi="Arial"/>
          <w:sz w:val="22"/>
          <w:szCs w:val="22"/>
        </w:rPr>
        <w:t xml:space="preserve">What is the message retention period on the topic, and what is the expected peak message volume (transactions per second) we should size our consumer throughput around?</w:t>
      </w:r>
    </w:p>
    <w:p>
      <w:pPr>
        <w:numPr>
          <w:ilvl w:val="0"/>
          <w:numId w:val="2"/>
        </w:numPr>
        <w:spacing w:after="100"/>
      </w:pPr>
      <w:r>
        <w:rPr>
          <w:rFonts w:ascii="Arial" w:cs="Arial" w:eastAsia="Arial" w:hAnsi="Arial"/>
          <w:sz w:val="22"/>
          <w:szCs w:val="22"/>
        </w:rPr>
        <w:t xml:space="preserve">Are Kafka partition keys set by transaction ID or another field? We need to understand whether message ordering per transaction is guaranteed at the partition level.</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A.3 – Zelle-Specific Questions</w:t>
      </w:r>
    </w:p>
    <w:p>
      <w:pPr>
        <w:numPr>
          <w:ilvl w:val="0"/>
          <w:numId w:val="2"/>
        </w:numPr>
        <w:spacing w:after="100"/>
      </w:pPr>
      <w:r>
        <w:rPr>
          <w:rFonts w:ascii="Arial" w:cs="Arial" w:eastAsia="Arial" w:hAnsi="Arial"/>
          <w:sz w:val="22"/>
          <w:szCs w:val="22"/>
        </w:rPr>
        <w:t xml:space="preserve">Is Zelle traffic published on the same Kafka topic as RTP and FedNow, or does it use a separate topic or a different integration path entirely?</w:t>
      </w:r>
    </w:p>
    <w:p>
      <w:pPr>
        <w:numPr>
          <w:ilvl w:val="0"/>
          <w:numId w:val="2"/>
        </w:numPr>
        <w:spacing w:after="100"/>
      </w:pPr>
      <w:r>
        <w:rPr>
          <w:rFonts w:ascii="Arial" w:cs="Arial" w:eastAsia="Arial" w:hAnsi="Arial"/>
          <w:sz w:val="22"/>
          <w:szCs w:val="22"/>
        </w:rPr>
        <w:t xml:space="preserve">Are there Zelle-specific payload fields we should be aware of, such as token/alias resolution (phone or email to account), Early Warning Services transaction IDs, or dispute and fraud metadata?</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A.4 – Network Connectivity &amp; Credentials</w:t>
      </w:r>
    </w:p>
    <w:p>
      <w:pPr>
        <w:numPr>
          <w:ilvl w:val="0"/>
          <w:numId w:val="2"/>
        </w:numPr>
        <w:spacing w:after="100"/>
      </w:pPr>
      <w:r>
        <w:rPr>
          <w:rFonts w:ascii="Arial" w:cs="Arial" w:eastAsia="Arial" w:hAnsi="Arial"/>
          <w:sz w:val="22"/>
          <w:szCs w:val="22"/>
        </w:rPr>
        <w:t xml:space="preserve">Is the Kafka cluster reachable over the public internet, or does connectivity require VPN or private network peering? Our service will run on Google Cloud Run.</w:t>
      </w:r>
    </w:p>
    <w:p>
      <w:pPr>
        <w:numPr>
          <w:ilvl w:val="0"/>
          <w:numId w:val="2"/>
        </w:numPr>
        <w:spacing w:after="100"/>
      </w:pPr>
      <w:r>
        <w:rPr>
          <w:rFonts w:ascii="Arial" w:cs="Arial" w:eastAsia="Arial" w:hAnsi="Arial"/>
          <w:sz w:val="22"/>
          <w:szCs w:val="22"/>
        </w:rPr>
        <w:t xml:space="preserve">Are there IP allowlist requirements? If so, can you share the allowlisting process and the IPs or CIDR ranges that need to be permitted on your end?</w:t>
      </w:r>
    </w:p>
    <w:p>
      <w:pPr>
        <w:numPr>
          <w:ilvl w:val="0"/>
          <w:numId w:val="2"/>
        </w:numPr>
        <w:spacing w:after="100"/>
      </w:pPr>
      <w:r>
        <w:rPr>
          <w:rFonts w:ascii="Arial" w:cs="Arial" w:eastAsia="Arial" w:hAnsi="Arial"/>
          <w:sz w:val="22"/>
          <w:szCs w:val="22"/>
        </w:rPr>
        <w:t xml:space="preserve">What is the process for provisioning integration credentials? We will need non-production and production credentials stored in GCP Secret Manager.</w:t>
      </w:r>
    </w:p>
    <w:p>
      <w:pPr>
        <w:spacing w:after="80"/>
      </w:pPr>
      <w:r>
        <w:t xml:space="preserve"/>
      </w:r>
    </w:p>
    <w:p>
      <w:pPr>
        <w:pStyle w:val="Heading2"/>
        <w:spacing w:before="240" w:after="120"/>
        <w:outlineLvl w:val="1"/>
      </w:pPr>
      <w:r>
        <w:rPr>
          <w:rFonts w:ascii="Arial" w:cs="Arial" w:eastAsia="Arial" w:hAnsi="Arial"/>
          <w:b/>
          <w:color w:val="1A3D5C"/>
          <w:sz w:val="28"/>
          <w:szCs w:val="28"/>
        </w:rPr>
        <w:t xml:space="preserve">A.5 – Testing &amp; Support</w:t>
      </w:r>
    </w:p>
    <w:p>
      <w:pPr>
        <w:numPr>
          <w:ilvl w:val="0"/>
          <w:numId w:val="2"/>
        </w:numPr>
        <w:spacing w:after="100"/>
      </w:pPr>
      <w:r>
        <w:rPr>
          <w:rFonts w:ascii="Arial" w:cs="Arial" w:eastAsia="Arial" w:hAnsi="Arial"/>
          <w:sz w:val="22"/>
          <w:szCs w:val="22"/>
        </w:rPr>
        <w:t xml:space="preserve">Is a sandbox or lower environment available for integration testing, and can synthetic test events be injected across all three rail types?</w:t>
      </w:r>
    </w:p>
    <w:p>
      <w:pPr>
        <w:numPr>
          <w:ilvl w:val="0"/>
          <w:numId w:val="2"/>
        </w:numPr>
        <w:spacing w:after="100"/>
      </w:pPr>
      <w:r>
        <w:rPr>
          <w:rFonts w:ascii="Arial" w:cs="Arial" w:eastAsia="Arial" w:hAnsi="Arial"/>
          <w:sz w:val="22"/>
          <w:szCs w:val="22"/>
        </w:rPr>
        <w:t xml:space="preserve">Is there a developer portal, internal wiki, or integration guide we should reference for EES onboarding (e.g. jackhenry.dev or a client-specific portal)?</w:t>
      </w:r>
    </w:p>
    <w:p>
      <w:pPr>
        <w:numPr>
          <w:ilvl w:val="0"/>
          <w:numId w:val="2"/>
        </w:numPr>
        <w:spacing w:after="100"/>
      </w:pPr>
      <w:r>
        <w:rPr>
          <w:rFonts w:ascii="Arial" w:cs="Arial" w:eastAsia="Arial" w:hAnsi="Arial"/>
          <w:sz w:val="22"/>
          <w:szCs w:val="22"/>
        </w:rPr>
        <w:t xml:space="preserve">Who is the primary technical contact on the PayCenter side for integration support, and what is the preferred channel (email, Teams, Jira, etc.) for ongoing questions during development?</w:t>
      </w:r>
    </w:p>
    <w:p>
      <w:pPr>
        <w:spacing w:after="80"/>
      </w:pPr>
      <w:r>
        <w:t xml:space="preserve"/>
      </w:r>
    </w:p>
    <w:p>
      <w:pPr>
        <w:spacing w:after="120"/>
      </w:pPr>
      <w:r>
        <w:rPr>
          <w:rFonts w:ascii="Arial" w:cs="Arial" w:eastAsia="Arial" w:hAnsi="Arial"/>
          <w:i/>
          <w:iCs/>
          <w:color w:val="AAAAAA"/>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1"/>
      </w:pBdr>
      <w:tabs>
        <w:tab w:val="right" w:pos="9360"/>
      </w:tabs>
    </w:pPr>
    <w:r>
      <w:rPr>
        <w:rFonts w:ascii="Arial" w:cs="Arial" w:eastAsia="Arial" w:hAnsi="Arial"/>
        <w:color w:val="666666"/>
        <w:sz w:val="18"/>
        <w:szCs w:val="18"/>
      </w:rPr>
      <w:t xml:space="preserve">JHA PayCenter – Payment Events Bridge</w:t>
    </w:r>
    <w:r>
      <w:rPr>
        <w:rFonts w:ascii="Arial" w:cs="Arial" w:eastAsia="Arial" w:hAnsi="Arial"/>
        <w:color w:val="999999"/>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5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D5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2026-03-16T19:41:15.842Z</dcterms:created>
  <dcterms:modified xsi:type="dcterms:W3CDTF">2026-03-16T19:41:15.842Z</dcterms:modified>
</cp:coreProperties>
</file>

<file path=docProps/custom.xml><?xml version="1.0" encoding="utf-8"?>
<Properties xmlns="http://schemas.openxmlformats.org/officeDocument/2006/custom-properties" xmlns:vt="http://schemas.openxmlformats.org/officeDocument/2006/docPropsVTypes"/>
</file>