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E7C3A" w:sz="18" w:space="6"/>
        </w:pBdr>
        <w:tabs>
          <w:tab w:val="right" w:pos="9638"/>
        </w:tabs>
        <w:spacing w:after="40"/>
      </w:pPr>
      <w:r>
        <w:rPr>
          <w:rFonts w:ascii="Palatino Linotype" w:cs="Palatino Linotype" w:eastAsia="Palatino Linotype" w:hAnsi="Palatino Linotype"/>
          <w:i/>
          <w:iCs/>
          <w:color w:val="595959"/>
          <w:sz w:val="16"/>
          <w:szCs w:val="16"/>
        </w:rPr>
        <w:t xml:space="preserve">[Название журнала] · рабочий препринт</w:t>
      </w:r>
      <w:r>
        <w:rPr>
          <w:rFonts w:ascii="Palatino Linotype" w:cs="Palatino Linotype" w:eastAsia="Palatino Linotype" w:hAnsi="Palatino Linotype"/>
          <w:b/>
          <w:bCs/>
          <w:color w:val="0E7C3A"/>
          <w:sz w:val="16"/>
          <w:szCs w:val="16"/>
        </w:rPr>
        <w:t xml:space="preserve">	Открытый доступ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0E7C3A"/>
          <w:sz w:val="24"/>
          <w:szCs w:val="24"/>
        </w:rPr>
        <w:t xml:space="preserve">Статья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b/>
          <w:bCs/>
          <w:color w:val="1A1A1A"/>
          <w:sz w:val="32"/>
          <w:szCs w:val="32"/>
        </w:rPr>
        <w:t xml:space="preserve">Может ли одно число отличить хорошую модель каскадов от наивной? Трёхосевая валидация симулятора глобальных цепочек поставок на 27 первично-документированных исторических событиях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[Фамилия Имя]</w:t>
      </w:r>
      <w:r>
        <w:rPr>
          <w:rFonts w:ascii="Palatino Linotype" w:cs="Palatino Linotype" w:eastAsia="Palatino Linotype" w:hAnsi="Palatino Linotype"/>
          <w:sz w:val="22"/>
          <w:szCs w:val="22"/>
          <w:vertAlign w:val="superscript"/>
        </w:rPr>
        <w:t xml:space="preserve"> 1,*</w:t>
      </w:r>
    </w:p>
    <w:p>
      <w:pPr>
        <w:spacing w:after="20"/>
      </w:pPr>
      <w:r>
        <w:rPr>
          <w:rFonts w:ascii="Palatino Linotype" w:cs="Palatino Linotype" w:eastAsia="Palatino Linotype" w:hAnsi="Palatino Linotype"/>
          <w:sz w:val="16"/>
          <w:szCs w:val="16"/>
          <w:vertAlign w:val="superscript"/>
        </w:rPr>
        <w:t xml:space="preserve">1</w:t>
      </w:r>
      <w:r>
        <w:rPr>
          <w:rFonts w:ascii="Palatino Linotype" w:cs="Palatino Linotype" w:eastAsia="Palatino Linotype" w:hAnsi="Palatino Linotype"/>
          <w:color w:val="595959"/>
          <w:sz w:val="16"/>
          <w:szCs w:val="16"/>
        </w:rPr>
        <w:t xml:space="preserve">  [Учебное заведение], [Город], [Страна]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sz w:val="16"/>
          <w:szCs w:val="16"/>
          <w:vertAlign w:val="superscript"/>
        </w:rPr>
        <w:t xml:space="preserve">*</w:t>
      </w:r>
      <w:r>
        <w:rPr>
          <w:rFonts w:ascii="Palatino Linotype" w:cs="Palatino Linotype" w:eastAsia="Palatino Linotype" w:hAnsi="Palatino Linotype"/>
          <w:color w:val="595959"/>
          <w:sz w:val="16"/>
          <w:szCs w:val="16"/>
        </w:rPr>
        <w:t xml:space="preserve">  Корреспонденция: mametaeverzat014@gmail.com</w:t>
      </w:r>
    </w:p>
    <w:tbl>
      <w:tblPr>
        <w:tblW w:type="dxa" w:w="9638"/>
        <w:tblBorders>
          <w:top w:val="single" w:color="D7E2DB" w:sz="4"/>
          <w:left w:val="single" w:color="D7E2DB" w:sz="4"/>
          <w:bottom w:val="single" w:color="D7E2DB" w:sz="4"/>
          <w:right w:val="single" w:color="D7E2DB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2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8"/>
                <w:szCs w:val="18"/>
              </w:rPr>
              <w:t xml:space="preserve">Аннотация: </w:t>
            </w: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Глобальные нарушения цепочек поставок — землетрясения, наводнения, блокировки каналов, финансовые кризисы — каскадируют между отраслями и странами, однако опубликованные имитационные модели, как правило, валидируются на одном-двух событиях и по одной метрике ошибки. Настоящая работа ставит вопрос: способна ли такая валидация вообще отличить содержательную модель от наивного бейслайна — и строит инфраструктуру, позволяющую на него ответить. Собран бенчмарк из 27 исторических событий (1999–2023, десять категорий), каждое откалибровано по первичным источникам согласно письменному протоколу иерархии источников, и трёхосевая система валидации, оценивающая (1) глобальную магнитуду потерь, (2) форму каскада на уровне узла (пик, тайминг, восстановление) и (3) пространственный охват. Протестированы четыре модели: авторский симулятор SEIRS-bullwhip-hysteresis (GEDS), межотраслевая модель Леонтьева, линейная сетевая диффузия и наивный предиктор среднего. По точечной магнитуде ни одна модель статистически значимо не превосходит другую (все шесть парных перестановочных тестов p ≥ 0,09 при N=27), и результат сохраняется при кросс-валидации с пофолдовой рекалибровкой (p = 0,89): валидация одним числом эти модели не различает. Анализ мощности показывает, что при N=27 минимальный детектируемый эффект (0,018 MAE) превышает реальные различия моделей (~0,007) — то есть паритет ограничен разрешением выборки, а не доказан. Траекторная валидация различает модели: GEDS, единственная модель, порождающая полные траектории, ранжирует длительности восстановления со Spearman 0,88 (95% ДИ 0,56–0,99) и тайминг пика с 0,69 (0,20–0,87). Замена ручного 12-странового графа на граф OECD ICIO из 405 узлов поднимает пространственный охват каскада с 0,29 до 0,79 без подстройки параметров. Все результаты детерминированы, зафиксированы golden-тестами и воспроизводятся из открытого репозитория.</w:t>
            </w:r>
          </w:p>
        </w:tc>
      </w:tr>
    </w:tbl>
    <w:p>
      <w:pPr>
        <w:spacing w:after="60" w:before="80"/>
        <w:jc w:val="both"/>
      </w:pPr>
      <w:r>
        <w:rPr>
          <w:rFonts w:ascii="Palatino Linotype" w:cs="Palatino Linotype" w:eastAsia="Palatino Linotype" w:hAnsi="Palatino Linotype"/>
          <w:b/>
          <w:bCs/>
          <w:sz w:val="18"/>
          <w:szCs w:val="18"/>
        </w:rPr>
        <w:t xml:space="preserve">Ключевые слова: 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цепочки поставок; распространение шоков; валидация моделей; SEIRS; бутстрэп; перестановочный тест; анализ мощности; OECD ICIO; бенчмарк каскадов</w:t>
      </w:r>
    </w:p>
    <w:p>
      <w:pPr>
        <w:pBdr>
          <w:left w:val="single" w:color="0E7C3A" w:sz="18" w:space="10"/>
        </w:pBdr>
        <w:spacing w:after="100" w:before="40"/>
        <w:ind w:left="160"/>
      </w:pP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Тип: рабочий препринт (проект ISEF).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Поступила / Принята / Опубликована: —.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Авторские права: © 2026 автор(ы). CC BY 4.0.  </w:t>
      </w:r>
      <w:r>
        <w:rPr>
          <w:rFonts w:ascii="Palatino Linotype" w:cs="Palatino Linotype" w:eastAsia="Palatino Linotype" w:hAnsi="Palatino Linotype"/>
          <w:color w:val="595959"/>
          <w:sz w:val="15"/>
          <w:szCs w:val="15"/>
        </w:rPr>
        <w:t xml:space="preserve">Все числа генерируются из артефактов репозитория и воспроизводимы с фиксированными сидами.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1. Введение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1.1. Мотивация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Блокировка Суэцкого канала контейнеровозом Ever Given (2021) остановила около 12% мировой торговли на шесть дней; наводнения в Таиланде (2011) сократили национальное автопроизводство на 87,5% в пиковый месяц; дефицит чипов 2020–2021 годов обошёлся мировому автопрому в 9,5 млн невыпущенных машин. Политикам и компаниям нужны модели, предсказывающие, как локальный шок распространится по глобальной производственной сети. Литература предлагает десятки таких моделей — но почти каждая валидируется на одном-двух событиях, чаще всего по единственному скаляру.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Эта работа начиналась как построение очередной модели. Она закончилась другим выводом: стандартный способ валидации не способен отличить сложную модель от наивной, и потому был построен валидационный инструмент, который на это способен.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1.2. Вопрос исследования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Может ли валидация по одному числу (пиковая магнитуда потерь) отличить содержательную модель распространения шоков от тривиальных бейслайнов — и если нет, какие оси валидации различают модели?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1.3. Вклад работы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Бенчмарк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27 исторических событий-нарушений (1999–2023) с калибровочными целями из первичных источников по письменному протоколу иерархии источников; плюс библиотека из 17+ задокументированных «почти-промахов» как отрицательный контроль.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Трёхосевая валидационная система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глобальная магнитуда (Track A), форма траектории шокированного узла (Track B), пространственный охват и порядок поражения узлов.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Статистический слой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событийный бутстрэп, парный бутстрэп с общими индексами, знаковые перестановочные тесты и анализ мощности — каждое «лучше/хуже» снабжено доверительным интервалом и p-значением.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4.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Честный главный результат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паритет всех четырёх моделей по магнитуде при N=27 (внутри- и вневыборочно, и это ограничение мощности, а не эквивалентность) и значимое разделение на траекторных осях, где конкурирует только GEDS.</w:t>
      </w:r>
    </w:p>
    <w:p>
      <w:pPr>
        <w:spacing w:after="20" w:line="24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5.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Механизменная находка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тайминг пика был на уровне случайности из-за отсутствия у движка нарастающей формы форсирования; дефект локализован, исправление принято через пре-регистрированный эксперимент с гейтом.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2. Связанные работы и позиционирование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Работа лежит на пересечении четырёх линий литературы; полные ссылки — в разделе «Литература».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Распространение шоков по производственным сетям.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Теоретический фундамент заложили Acemoglu et al. [1], показавшие сетевые истоки агрегатных флуктуаций, и продолжения о микро-истоках и распределениях (Acemoglu et al. [2]; Baqaee [3]; Bigio &amp; La'O [4]). Эмпирику закрыли Carvalho et al. [5], проследившие каскад землетрясения Тохоку по реальным цепочкам поставщиков, Barrot &amp; Sauvagnat [6] через специфичность вводимых ресурсов и Boehm et al. [7]. Гранулярность как источник агрегатных колебаний — Gabaix [8], di Giovanni &amp; Levchenko [9], Oberfield et al. [10]. Наша работа не добавляет теории — она использует эту структуру как субстрат и спрашивает, насколько хорошо динамические модели на ней предсказывают реальные каскады.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Имитационные и агентные модели.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Inoue &amp; Todo [11] построили фирменно-уровневую агентную модель распространения по цепочкам поставок; Otto et al. [12] (Acclimate) моделируют климатические шоки на международной торговле. Эти работы валидируются на одном классе событий; наш вклад ортогонален — система сравнительной валидации, в которой такие модели ставятся рядом на общем бенчмарке.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Финансовое заражение.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Механика распространения по сетям изучена в финансах: Allen &amp; Gale [13], Gai &amp; Kapadia [14], Battiston et al. [15], Elliott et al. [16], Haldane &amp; May [17], Acemoglu et al. [20]. Мы заимствуем идею порогового каскада (узел переходит в «дистресс» при превышении эндогенного порога), но применяем к производственному выпуску.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Эпидемиологические динамики и валидация прогнозов.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Перенос SEIR-схем на экономику активизировался после COVID (Eichenbaum et al. [18]; Coquidé et al. [19]; Starnini et al. [21]). Методология сравнительной валидации — M-соревнования и бенчмарки временных графов — систематически обнаруживала, что простые методы неотличимы от сложных; наш результат воспроизводит этот паттерн в новой области.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Ниша.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Насколько нам известно, ни одна опубликованная работа не совмещает SEIRS-динамику, эффект хлыста и гистерезис в одном движке и, что важнее, не валидирует модель каскадов одновременно по магнитуде, форме траектории и пространственному охвату на десятках разнотипных событий с полным статистическим слоем. Пробел — не «ещё одна модель», а «как честно сравнивать такие модели».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3. Данные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3.1. Бенчмарк событий (N=27)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Каждое событие задаётся: шокируемый узел (страна:отрасль или чокпойнт), магнитуда шока на стороне источника, длительность, форма форсирования, горизонт; и наблюдаемая цель — глобальная/отраслевая потеря выпуска из первичного источника. Полный список — Приложение A. Категории: землетрясения, наводнения, пожары, локдауны, энергокризисы, портовые заторы, блокировки чокпойнтов, торговые ограничения, забастовки, финансовый кризис.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Протокол источников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(письменный): уровень 1 — отраслевые статагентства (OICA, JAMA, VDA, SIA) и официальные макроданные (центробанки, МВФ, IMF PortWatch [26]); уровень 2 — отчётность компаний; уровень 3 (Reuters/Bloomberg/Nikkei) — только при прямой цитате уровня 1/2. Правила: пик отличается от остаточного значения; производные числа помечаются [DERIVED]; узел назначается по месту производства.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Отрицательный контроль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события без чистого первичного числа (пожар Philips 2000) или со структурной неполнотой графа (Boeing 737 MAX) документируются как невключённые с указанием причины. База содержит 17+ «почти-промахов» — событий, где каскада почти не было: модель штрафуется за ложные срабатывания.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3.2. Цели траекторной валидации и граф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Для Track B собраны: пиковая потеря выпуска шокированного сектора в стране-источнике (только измеримые цели, статус «null» с причиной, где источника нет); недели до пика и до восстановления 90%; 62 строки «событие → поражённый узел → неделя начала» с первичной ссылкой. Граф v2: 41 узел (12 стран × 6 отраслей + 5 чокпойнтов), веса перепроверены против OECD ICIO [25] (Spearman 0,79–0,84). Граф v3: 405 узлов (81 экономика × 5 секторов) непосредственно из таблиц ICIO 2019.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4. Модели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GEDS (SEIRS-Bullwhip-Hysteresis)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— авторский движок: каждый узел проходит состояния Susceptible → Exposed (буфер запасов поглощает дефицит) → Infected (потеря выпуска с нелинейным усилением) → Recovered (гистерезис).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Бейслайны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(ноль подгоняемых параметров): межотраслевая модель Леонтьева, линейная сетевая диффузия, наивный предиктор среднего. Конфигурация детерминирована (stochastic_sigma = 0, seed = 0) и запинена golden-тестом.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4.1. Формальная спецификация движка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Пусть s_i(t) ∈ [0, 1] — уровень шока узла i на неделе t; D_eff — матрица эффективных зависимостей. Обновление за шаг (векторизовано по узлам). Входящее давление с эффектом хлыста, где β_i = bullwhip-фактор (1,25 в состоянии E):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in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β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Σ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j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D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eff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[i,j] ·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j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(1)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Импульс воздействия (δ — propagation_decay, V — уязвимость, A — нелинейное усиление, ρ — устойчивость, множитель (1−s) даёт насыщение):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Δ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δ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in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V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A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(1−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ρ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 · (1−s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(2)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Недельная скорость восстановления, привязанная к узловой задержке delay_i (8 недель — опорная):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γ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= clip( recovery_rate · (8 / max(delay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, 0,5)), 0, 0,95 )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(3)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Переход состояния, где x_i — внешнее форсирование события (форма step/linear/exp/ramp), r_i = γ_i·s_i для незафорсированных узлов, ε — шум (в бенчмарке ε ≡ 0):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(t+1) = clip( max( x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(t+1),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+ Δ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− r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+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ε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), 0, 1 )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(4)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Наблюдаемая потеря выпуска узла (η — эластичность, f_i — пол гистерезиса R-состояния, ≥ 0,30 пока узел восстанавливается):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L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= max(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η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(1−</w:t>
      </w:r>
      <w:r>
        <w:rPr>
          <w:rFonts w:ascii="Palatino Linotype" w:cs="Palatino Linotype" w:eastAsia="Palatino Linotype" w:hAnsi="Palatino Linotype"/>
          <w:i/>
          <w:iCs/>
          <w:sz w:val="18"/>
          <w:szCs w:val="18"/>
        </w:rPr>
        <w:t xml:space="preserve">ρ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), f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(5)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Скалярный индекс тяжести каскада (c_i — центральность узла, d_i — входная экспозиция):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CSI(t) = (1/N) · Σ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s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(t) · c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· d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i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(6)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Состояния SEIRS.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Узел из S переходит в E при пересечении входящим давлением триггера (буфер запасов глубиной inventory_scale поглощает дефицит), из E — в I, из I — в R при спаде шока; в R держится delay_i недель с полом выпуска f_i, затем возвращается в S — это и есть гистерезис.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Пять калибруемых параметров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θ = (amplification_mu, bullwhip_factor, recovery_rate, inventory_scale, distress_base); остальные величины структурны либо фиксированы. Бейслайны формально: Леонтьев решает (I−A)^{-1}-подобное равновесие потерь; линейная диффузия итерирует s(t+1)=s(t)+δ·(W·s(t)) без насыщения и восстановления; наивный предиктор возвращает среднее выборки.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5. Методы валидации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5.1. Три оси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Track A (магнитуда)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предсказанная против наблюдаемой глобальной/отраслевой потери, N=27; MAE, RMSE, Spearman.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Track B (форма)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траектория непосредственно шокированного узла: пиковая магнитуда (n=5), недели до пика (n=15), недели до восстановления 90% (n=11).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Spatial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доля исторически поражённых узлов, до которых каскад доходит (recall), и ранговая корреляция порядка поражения.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5.2. Статистический слой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При N=27 вопрос «значимо ли различие?» первичен. Все процедуры детерминированы (сид 20260718) и ресемплируют целые события.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Бутстрэп-ДИ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каждой метрики: 10 000 ресемплов, перцентильные 95% интервалы.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Парный бутстрэп разностей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общие индексы ресемплов для обеих моделей.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Знаковый перестановочный тест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для пары (A, B) с поэлементными ошибками e_A, e_B: статистика T = |mean(|e_A|−|e_B|)|; под H0 знак каждой разности переворачивается независимо (20 000 перестановок); двусторонний p: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p = (1 + #{ T* ≥ T }) / (20000 + 1)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(7)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Анализ мощности / минимальный детектируемый эффект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для парных разностей d_i минимальная средняя разность MAE, детектируемая при мощности 80% и α=0,05, и требуемое N для наблюдаемой разности:</w:t>
      </w:r>
    </w:p>
    <w:p>
      <w:pPr>
        <w:spacing w:after="40" w:before="40"/>
        <w:jc w:val="center"/>
      </w:pPr>
      <w:r>
        <w:rPr>
          <w:rFonts w:ascii="Palatino Linotype" w:cs="Palatino Linotype" w:eastAsia="Palatino Linotype" w:hAnsi="Palatino Linotype"/>
          <w:sz w:val="18"/>
          <w:szCs w:val="18"/>
        </w:rPr>
        <w:t xml:space="preserve">MDE = (z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0,975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+ z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0,80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) · sd(d) / √N ,   N</w:t>
      </w:r>
      <w:r>
        <w:rPr>
          <w:rFonts w:ascii="Palatino Linotype" w:cs="Palatino Linotype" w:eastAsia="Palatino Linotype" w:hAnsi="Palatino Linotype"/>
          <w:sz w:val="18"/>
          <w:szCs w:val="18"/>
          <w:vertAlign w:val="subscript"/>
        </w:rPr>
        <w:t xml:space="preserve">req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= ( 2,80 · sd(d) / |mean(d)| )</w:t>
      </w:r>
      <w:r>
        <w:rPr>
          <w:rFonts w:ascii="Palatino Linotype" w:cs="Palatino Linotype" w:eastAsia="Palatino Linotype" w:hAnsi="Palatino Linotype"/>
          <w:sz w:val="18"/>
          <w:szCs w:val="18"/>
          <w:vertAlign w:val="superscript"/>
        </w:rPr>
        <w:t xml:space="preserve">2</w:t>
      </w:r>
      <w:r>
        <w:rPr>
          <w:rFonts w:ascii="Palatino Linotype" w:cs="Palatino Linotype" w:eastAsia="Palatino Linotype" w:hAnsi="Palatino Linotype"/>
          <w:sz w:val="18"/>
          <w:szCs w:val="18"/>
        </w:rPr>
        <w:t xml:space="preserve">    (8)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Вневыборочная проверка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кросс-валидация leave-one-out с пофолдовой рекалибровкой пяти параметров дифференциальной эволюцией — удерживаемое событие не влияет на свои параметры; у бейслайнов параметров нет.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5.3. Пре-регистрация механизменных изменений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Любое изменение движка проходит через заранее объявленный гейт. Прецеденты отрицательных исходов сохранены: поглощение запасами, поузловое восстановление, удаление пола гистерезиса — все три улучшали внутривыборочные метрики и были отвергнуты по вневыборочному гейту. Принятое изменение (ramp, §6.3) прошло тот же протокол.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6. Результаты</w:t>
      </w: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6.1. Track A: паритет магнитуды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Четыре модели на дефолтных параметрах — Таблица 1. Точечные оценки создают видимость иерархии, но ни одна из шести парных разностей MAE не значима (Рисунок 1): GEDS−Леонтьев ΔMAE +0,0074 [−0,0031; +0,0218], p=0,42; Леонтьев−наивное −0,0040 [−0,0083; +0,0005], p=0,09; остальные p=0,21–0,97.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При N=27 валидация одним числом не ранжирует эти модели.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Значимы только ранговые сигналы: линейная диффузия (0,72 [0,40; 0,91]) и GEDS (0,45 [0,06; 0,73]).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Таблица 1.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Четыре модели на дефолтных параметрах; MAE / RMSE / Spearman с 95% бутстрэп-ДИ (N=27).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2079"/>
        <w:gridCol w:w="2079"/>
        <w:gridCol w:w="2080"/>
      </w:tblGrid>
      <w:tr>
        <w:trPr>
          <w:tblHeader/>
        </w:trPr>
        <w:tc>
          <w:tcPr>
            <w:tcW w:type="dxa" w:w="34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Модель</w:t>
            </w:r>
          </w:p>
        </w:tc>
        <w:tc>
          <w:tcPr>
            <w:tcW w:type="dxa" w:w="2079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 [95% ДИ]</w:t>
            </w:r>
          </w:p>
        </w:tc>
        <w:tc>
          <w:tcPr>
            <w:tcW w:type="dxa" w:w="2079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RMSE [95% ДИ]</w:t>
            </w:r>
          </w:p>
        </w:tc>
        <w:tc>
          <w:tcPr>
            <w:tcW w:type="dxa" w:w="208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 [95% ДИ]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(SEIRS-b.-h.)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0,0242 [0,011; 0,040]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0,0464 [0,021; 0,067]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0,45 [0,06; 0,73]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Леонтьев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0,0168 [0,008; 0,028]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0,0313 [0,011; 0,046]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0,34 [−0,10; 0,67]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Линейная диффузия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0,0171 [0,009; 0,029]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0,0317 [0,012; 0,049]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0,72 [0,40; 0,91]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Наивное среднее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0,0208 [0,013; 0,031]</w:t>
            </w:r>
          </w:p>
        </w:tc>
        <w:tc>
          <w:tcPr>
            <w:tcW w:type="dxa" w:w="2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0,0324 [0,014; 0,047]</w:t>
            </w:r>
          </w:p>
        </w:tc>
        <w:tc>
          <w:tcPr>
            <w:tcW w:type="dxa" w:w="2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— (константа)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Рисунок 1.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Парные разности MAE (первая минус вторая) с 95% парными бутстрэп-ДИ и двусторонними перестановочными p. Все шесть пар пересекают ноль.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Рисунок 2.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Предсказанное против наблюдаемого по каждой модели, N=27; пунктир — идеальное совпадение.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6.2. Track B: траекторные оси разделяют модели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Ни Леонтьев, ни наивное среднее траекторий не порождают; линейная диффузия даёт кривую без восстановления. Полную форму «пик → спад → восстановление» предсказывает только GEDS — и на этих осях результат значим (Таблица 2). Ранжирование восстановления (0,88) — сильнейший результат; ДИ обеих временных осей не содержат ноль. Ось магнитуды при n=5 статистически пуста и заявляется только как ограничение.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Таблица 2.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Track B: оси формы траектории на уровне узла (единственные оси, которые порождает только GEDS).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900"/>
        <w:gridCol w:w="3138"/>
        <w:gridCol w:w="2000"/>
      </w:tblGrid>
      <w:tr>
        <w:trPr>
          <w:tblHeader/>
        </w:trPr>
        <w:tc>
          <w:tcPr>
            <w:tcW w:type="dxa" w:w="3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Ось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31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Spearman [95% ДИ]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MAE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Пиковая магнитуда узла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0,60 [−1,00; 1,00] — не заявляем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0,42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Недели до пика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15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0,69 [0,20; 0,87]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7,1 нед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Недели до восстановления 90%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11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0,88 [0,56; 0,99]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8,5 нед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6.3. Механизменная находка: почему тайминг был на нуле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До этой работы недели-до-пика показывали Spearman 0,07 [−0,43; +0,53] — уровень случайности. Форензика локализовала причину: все три реализованные формы шока (step, linear, exp) имеют максимум в момент начала, а храповик обновления состояния рендерит убывающее форсирование как прямоугольный импульс — 12 из 15 предсказанных пиков приходились на неделю 0. У движка отсутствовала форма «медленно нарастающий шок», которой требуют засухи, заторы и спросовые коллапсы.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Исправление: добавлена форма ramp (линейное нарастание), четыре события переведены на неё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по реальному механизму, объявленному до запуска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. Пре-регистрированный гейт из четырёх критериев пройден: Spearman недель-до-пика 0,07 → 0,69; просадка других осей 0,00; цена по бенчмарку +0,0001 MAE; нетронутые события бит-идентичны (Рисунок 3).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Рисунок 3.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Недели до пика: предсказанное против наблюдаемого до (полые) и после (закрашенные) принятия формы ramp; Spearman 0,07 → 0,69.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6.4. Вневыборочная проверка и анализ мощности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27-фолдовый LOO с пофолдовой DE-рекалибровкой: MAE 0,0192, RMSE 0,0422, Pearson 0,25, Spearman 0,56, R² −0,70. Парно против Леонтьева: ΔMAE +0,0024 [−0,0073; +0,0167], p=0,89 — паритет держится и вневыборочно. Два систематических промаха фиксируются честно: Чи-Чи 1999 (0,19 против 0,005 — источниковый узел не залечивается за горизонт) и кризис 2008–09 (0,051 против 0,130 — спросовый коллапс структурно не похож на каскады предложения).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Паритет — это ограничение мощности, а не доказанная эквивалентность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(Таблица 3). При N=27 минимальный детектируемый эффект для GEDS/Леонтьев равен 0,0184, тогда как наблюдаемые разности ~0,004–0,007 лежат ниже разрешения. Чтобы различить наблюдаемую разность, требуется ≈166 событий. Это превращает нулевой результат в ограниченное сверху утверждение и задаёт метрику для набора данных.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Таблица 3.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Анализ мощности: минимальный детектируемый эффект при N=27 и требуемое N для наблюдаемой разности.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4238"/>
        <w:gridCol w:w="1800"/>
        <w:gridCol w:w="1800"/>
        <w:gridCol w:w="1800"/>
      </w:tblGrid>
      <w:tr>
        <w:trPr>
          <w:tblHeader/>
        </w:trPr>
        <w:tc>
          <w:tcPr>
            <w:tcW w:type="dxa" w:w="42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Пара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набл. ΔMAE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MDE при N=27</w:t>
            </w:r>
          </w:p>
        </w:tc>
        <w:tc>
          <w:tcPr>
            <w:tcW w:type="dxa" w:w="1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N для детекции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vs Леонтьев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+0,0074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0,0184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≈166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GEDS vs лин. диффузия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+0,0071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0,0149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≈119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Леонтьев vs наивное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−0,0040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0,0064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≈69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5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19"/>
          <w:szCs w:val="19"/>
        </w:rPr>
        <w:t xml:space="preserve">6.5. Spatial: полнота сети, а не подгонка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Тот же движок, те же шоки — меняется только граф (Таблица 4). Плотный граф закрывает дыры, которые ручной не мог выразить (каскад пожара Renesas в иностранный автопром: 0/4 → 3/4). Порядок поражения ранжируется хорошо (Spearman 0,79). Ни один параметр не менялся: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связывающее ограничение — полнота сети, а не тонкость динамики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(Рисунок 4).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p>
      <w:pPr>
        <w:spacing w:after="40" w:before="60"/>
        <w:jc w:val="left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Таблица 4.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Пространственный охват каскада: ручной граф v2 против ICIO-графа v3.</w:t>
      </w: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3838"/>
        <w:gridCol w:w="2000"/>
        <w:gridCol w:w="3800"/>
      </w:tblGrid>
      <w:tr>
        <w:trPr>
          <w:tblHeader/>
        </w:trPr>
        <w:tc>
          <w:tcPr>
            <w:tcW w:type="dxa" w:w="383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Граф</w:t>
            </w:r>
          </w:p>
        </w:tc>
        <w:tc>
          <w:tcPr>
            <w:tcW w:type="dxa" w:w="20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Узлы</w:t>
            </w:r>
          </w:p>
        </w:tc>
        <w:tc>
          <w:tcPr>
            <w:tcW w:type="dxa" w:w="38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Пространственный recall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v2, ручной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36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0,29 (10/35)</w:t>
            </w:r>
          </w:p>
        </w:tc>
      </w:tr>
      <w:tr>
        <w:trPr>
          <w:tblHeader w:val="false"/>
        </w:trPr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v3, OECD ICIO 2019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405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0,79 (30/38)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spacing w:after="30" w:before="60"/>
        <w:jc w:val="center"/>
      </w:pPr>
      <w:r>
        <w:drawing>
          <wp:inline distT="0" distB="0" distL="0" distR="0">
            <wp:extent cx="5143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16"/>
          <w:szCs w:val="16"/>
        </w:rPr>
        <w:t xml:space="preserve">Рисунок 4.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Пространственный охват по событиям: доля исторически поражённых узлов на ручном графе v2 (полые) и ICIO-графе v3 (закрашенные).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7. Обсуждение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Три результата складываются в один вывод. (1) На оси, по которой отчитываются почти все работы — точечная магнитуда — четыре принципиально разные модели статистически неразличимы, и это не артефакт слабой настройки: паритет переживает пофолдовую рекалибровку и количественно ограничен мощностью. (2) Оси, различающие модели — временные и пространственные: там, где только полная динамическая модель способна конкурировать, её результаты значимы (0,69 и 0,88). (3) Наибольший прирост качества дала не динамика, а данные о структуре сети (recall 0,29 → 0,79 бесплатно по параметрам).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Практический вывод: валидировать модели каскадов нужно по образцу «предсказать паттерн, а не одно число», иначе таблицы лидеров сравнивают шум. Методологический вывод: пре-регистрация гейтов делает отрицательные результаты публикуемыми активами.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8. Ограничения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N=27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для Track A и n=5/15/11 для Track B — мощность ограничена; отсутствие значимости не равно эквивалентности (§6.4).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Ось узловой магнитуды пуста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(n=5, ДИ [−1; 1]): месячных индексов выпуска фабрик почти никто не публикует.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Два структурных промаха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 (Чи-Чи, кризис 2008–09) описаны, но не решены; три попытки исправлений отвергнуты вневыборочным гейтом.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Бейслайны учебные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сравнение с опубликованными моделями каскадов [11,12] — следующий шаг.</w:t>
      </w:r>
    </w:p>
    <w:p>
      <w:pPr>
        <w:spacing w:after="20" w:line="240"/>
        <w:ind w:left="300" w:hanging="16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—  </w:t>
      </w:r>
      <w:r>
        <w:rPr>
          <w:rFonts w:ascii="Palatino Linotype" w:cs="Palatino Linotype" w:eastAsia="Palatino Linotype" w:hAnsi="Palatino Linotype"/>
          <w:b/>
          <w:bCs/>
          <w:sz w:val="19"/>
          <w:szCs w:val="19"/>
        </w:rPr>
        <w:t xml:space="preserve">Полнота графа</w:t>
      </w:r>
      <w:r>
        <w:rPr>
          <w:rFonts w:ascii="Palatino Linotype" w:cs="Palatino Linotype" w:eastAsia="Palatino Linotype" w:hAnsi="Palatino Linotype"/>
          <w:sz w:val="19"/>
          <w:szCs w:val="19"/>
        </w:rPr>
        <w:t xml:space="preserve">: v2 не содержит ряда реальных производителей; v3 (405 узлов) пока не откалиброван по магнитудам.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9. Воспроизводимость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Конфигурация движка запинена (сиды фиксированы, стохастика выключена); результаты заморожены golden-тестами, любое численное изменение — явный диф в том же коммите. Статистический слой детерминирован (сид 20260718). Головной документ чисел и все фигуры генерируются скриптами из артефактов; каждая фигура сопровождается численной таблицей. 157 автотестов. Точные команды — Приложение B.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10. Заключение и дальнейшая работа</w:t>
      </w:r>
    </w:p>
    <w:p>
      <w:pPr>
        <w:spacing w:after="20" w:line="240"/>
        <w:ind w:firstLine="22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Построенный бенчмарк и трёхосевая валидация дают способ отличать модели каскадов друг от друга статистически честно. Дальше: рост N через чокпойнт-события (транзитные данные IMF PortWatch обходят проблему разбавления); калибровка магнитуд на 405-узловом ICIO-графе; спросовый механизм для событий типа 2008–09; публикация бенчмарка как открытого стандарта.</w:t>
      </w:r>
    </w:p>
    <w:p>
      <w:pPr>
        <w:spacing w:after="40" w:before="100"/>
      </w:pPr>
      <w:r>
        <w:rPr>
          <w:rFonts w:ascii="Palatino Linotype" w:cs="Palatino Linotype" w:eastAsia="Palatino Linotype" w:hAnsi="Palatino Linotype"/>
          <w:b/>
          <w:bCs/>
          <w:color w:val="1A1A1A"/>
          <w:sz w:val="18"/>
          <w:szCs w:val="18"/>
        </w:rPr>
        <w:t xml:space="preserve">Раскрытие использования ИИ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Инженерная реализация, статистическая обработка и подготовка черновиков выполнялись с использованием ИИ-ассистента под руководством автора; постановка задачи, решения о включении данных, принятие/отклонение механизмов по гейтам и финальный текст — авторские. Все данные — из открытых первичных источников, перечисленных построчно в CSV-файлах репозитория.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Литература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1. Acemoglu, D.; Carvalho, V.M.; Ozdaglar, A.; Tahbaz-Salehi, A. The Network Origins of Aggregate Fluctuations.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80, 1977–2016. doi:10.3982/ECTA9623.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2. Acemoglu, D.; Ozdaglar, A.; Tahbaz-Salehi, A. Microeconomic Origins of Macroeconomic Tail Risks.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2017, 107, 54–108. doi:10.1257/aer.20151086.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3. Baqaee, D.R. Cascading Failures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Working Paper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4. Bigio, S.; La'O, J. Distortions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2020, 135, 2187–2253. doi:10.1093/qjecon/qjaa002.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5. Carvalho, V.M.; Nirei, M.; Saito, Y.U.; Tahbaz-Salehi, A. Supply Chain Disruptions: Evidence from the Great East Japan Earthquake.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2021, 136, 1255–1321. doi:10.1093/qje/qjaa044.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6. Barrot, J.-N.; Sauvagnat, J. Input Specificity and the Propagation of Idiosyncratic Shocks in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Quarterly Journal of Economics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2016, 131, 1543–1592. doi:10.1093/qje/qjw018.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7. Boehm, C.E.; Flaaen, A.; Pandalai-Nayar, N. Input Linkages and the Transmission of Shocks: Firm-Level Evidence from the 2011 Tōhoku Earthquake.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Economics and Statistics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101, 60–75. doi:10.1162/rest_a_00750.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8. Gabaix, X. The Granular Origins of Aggregate Fluctuations.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2011, 79, 733–772. doi:10.3982/ECTA8769.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9. di Giovanni, J.; Levchenko, A.A. Country Size, International Trade, and Aggregate Fluctuations in Granular Economies.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Political Economy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120, 1083–1132. doi:10.1086/669161.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10. Oberfield, E.; et al. Aggregate Fluctuations in Adaptive Production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PNAS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2022, 119, e2203730119. doi:10.1073/pnas.2203730119.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11. Inoue, H.; Todo, Y. Firm-Level Propagation of Shocks Through Supply-Chain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Nature Sustainability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2, 841–847. doi:10.1038/s41893-019-0357-z.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12. Otto, C.; Willner, S.N.; Wenz, L.; Frieler, K.; Levermann, A. Modeling Loss-Propagation in the Global Supply Network: The Dynamic Agent-Based Model Acclimate.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Economic Dynamics &amp; Control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2017, 83, 232–269. doi:10.1016/j.jedc.2017.08.001.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13. Allen, F.; Gale, D. Financial Contagion.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Political Economy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2000, 108, 1–33. doi:10.1086/262109.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14. Gai, P.; Kapadia, S. Contagion in Financial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Proceedings of the Royal Society 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2010, 466, 2401–2423. doi:10.1098/rspa.2009.0410.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15. Battiston, S.; Delli Gatti, D.; Gallegati, M.; Greenwald, B.; Stiglitz, J.E. Liaisons Dangereuses: Increasing Connectivity, Risk Sharing, and Systemic Risk.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Journal of Economic Dynamics &amp; Control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2012, 36, 1121–1141. doi:10.1016/j.jedc.2012.04.001.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16. Elliott, M.; Golub, B.; Jackson, M.O. Financial Networks and Contagion.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2014, 104, 3115–3153. doi:10.1257/aer.104.10.3115.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17. Haldane, A.G.; May, R.M. Systemic Risk in Banking Ecosystems.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Nature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2011, 469, 351–355. doi:10.1038/nature09659.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18. Eichenbaum, M.S.; Rebelo, S.; Trabandt, M. The Macroeconomics of Epidemics.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Financial Studies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2021, 34, 5149–5187. doi:10.1093/rfs/hhab040.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19. Coquidé, C.; Lages, J.; Shepelyansky, D.L. Crisis Contagion in the World Trade Network.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Applied Network Science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2020, 5, 67. doi:10.1007/s41109-020-00304-z.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20. Acemoglu, D.; Ozdaglar, A.; Tahbaz-Salehi, A. Systemic Risk and Stability in Financial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American Economic Review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2015, 105, 564–608. doi:10.1257/aer.20130456.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21. Starnini, M.; Boguñá, M.; Serrano, M.Á. Shock Propagation on Global Trade-Investment Multiplex Networks.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Scientific Reports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2019, 9, 13079. doi:10.1038/s41598-019-49173-2.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22. Hidalgo, C.A.; Hausmann, R. The Building Blocks of Economic Complexity.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PNAS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2009, 106, 10570–10575. doi:10.1073/pnas.0900943106.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23. Caliendo, L.; Parro, F.; Rossi-Hansberg, E.; Sarte, P.-D. The Impact of Regional and Sectoral Productivity Changes on the U.S. Economy.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Review of Economic Studies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2018, 85, 2042–2096. doi:10.1093/restud/rdx082.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24. Eaton, J.; Kortum, S. Technology, Geography, and Trade. </w:t>
      </w:r>
      <w:r>
        <w:rPr>
          <w:rFonts w:ascii="Palatino Linotype" w:cs="Palatino Linotype" w:eastAsia="Palatino Linotype" w:hAnsi="Palatino Linotype"/>
          <w:i/>
          <w:iCs/>
          <w:sz w:val="16"/>
          <w:szCs w:val="16"/>
        </w:rPr>
        <w:t xml:space="preserve">Econometrica</w:t>
      </w:r>
      <w:r>
        <w:rPr>
          <w:rFonts w:ascii="Palatino Linotype" w:cs="Palatino Linotype" w:eastAsia="Palatino Linotype" w:hAnsi="Palatino Linotype"/>
          <w:sz w:val="16"/>
          <w:szCs w:val="16"/>
        </w:rPr>
        <w:t xml:space="preserve"> 2002, 70, 1741–1779. doi:10.1111/1468-0262.00352.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25. OECD. Inter-Country Input-Output (ICIO) Tables, 2025 Edition (Year 2019); OECD: Paris, 2025.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26. International Monetary Fund. PortWatch: Daily Chokepoint Transit Data; IMF: Washington, DC, 2021–2024.</w:t>
      </w:r>
    </w:p>
    <w:p>
      <w:pPr>
        <w:spacing w:after="24" w:line="210"/>
        <w:ind w:left="300" w:hanging="300"/>
        <w:jc w:val="both"/>
      </w:pPr>
      <w:r>
        <w:rPr>
          <w:rFonts w:ascii="Palatino Linotype" w:cs="Palatino Linotype" w:eastAsia="Palatino Linotype" w:hAnsi="Palatino Linotype"/>
          <w:sz w:val="16"/>
          <w:szCs w:val="16"/>
        </w:rPr>
        <w:t xml:space="preserve">27. OICA; JAMA; VDA; SIA. Industry Motor-Vehicle and Semiconductor Production Statistics, 1999–2023.</w:t>
      </w: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Приложение A. Полный бенчмарк событий (N=27)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Сгенерировано из seed_data.py; первичные источники по каждому событию — построчно в historical_events.csv. «Магн.» — магнитуда шока на стороне источника (вход модели), «Цель» — наблюдаемая потеря (выход для валидации).</w:t>
      </w:r>
    </w:p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space="454" w:num="2" w:equalWidth="true"/>
          <w:docGrid w:linePitch="360"/>
        </w:sectPr>
      </w:pPr>
    </w:p>
    <w:tbl>
      <w:tblPr>
        <w:tblW w:type="dxa" w:w="9638"/>
        <w:tblBorders>
          <w:top w:val="single" w:color="1A1A1A" w:sz="12"/>
          <w:left w:val="none" w:color="FFFFFF" w:sz="0"/>
          <w:bottom w:val="single" w:color="1A1A1A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3778"/>
        <w:gridCol w:w="2600"/>
        <w:gridCol w:w="900"/>
        <w:gridCol w:w="900"/>
        <w:gridCol w:w="900"/>
      </w:tblGrid>
      <w:tr>
        <w:trPr>
          <w:tblHeader/>
        </w:trPr>
        <w:tc>
          <w:tcPr>
            <w:tcW w:type="dxa" w:w="56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778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Событие</w:t>
            </w:r>
          </w:p>
        </w:tc>
        <w:tc>
          <w:tcPr>
            <w:tcW w:type="dxa" w:w="26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Узел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Магн.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Длит.</w:t>
            </w:r>
          </w:p>
        </w:tc>
        <w:tc>
          <w:tcPr>
            <w:tcW w:type="dxa" w:w="900"/>
            <w:tcBorders>
              <w:bottom w:val="single" w:color="1A1A1A" w:sz="8"/>
            </w:tcBorders>
            <w:shd w:fill="E8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6"/>
                <w:szCs w:val="16"/>
              </w:rPr>
              <w:t xml:space="preserve">Цель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covid-semiconductor-2020-2021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0,115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suez-canal-2021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CP:Suez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0,90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auto-chip-shortage-2021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0,077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japan-triple-disaster-2011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0,40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0,039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us-china-tariffs-2019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0,020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texas-winter-storm-2021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eu-energy-crisis-2021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DEU:automotive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malaysia-semiconductor-2021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MYS:semiconductors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9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thailand-floods-2011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THA:automotive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0,65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0,025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kumamoto-earthquake-2016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renesas-naka-fire-2021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JPN:semiconductors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0,28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japan-korea-export-controls-2019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vietnam-covid-lockdown-2021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VNM:electronics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shanghai-lockdown-2022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0,45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ukraine-war-harness-2022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DEU:automotive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china-power-crunch-2021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CHN:electronics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yantian-port-closure-2021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CHN:shipping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0,006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18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us-west-coast-ports-2021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0,008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19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red-sea-crisis-2023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CP:Suez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0,010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20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taiwan-drought-2021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21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india-covid-wave-2021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IND:automotive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0,004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22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taiwan-chichi-earthquake-1999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TWN:semiconductors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0,90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23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hurricane-harvey-2017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USA:consumer_goods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24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us-west-coast-ports-2015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USA:shipping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0,007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25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korea-trucker-strikes-2022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KOR:automotive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0,002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26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panama-canal-drought-2023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CP:Panama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0,005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left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27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gfc-auto-collapse-2008-2009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USA:automotive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0,47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Palatino Linotype" w:cs="Palatino Linotype" w:eastAsia="Palatino Linotype" w:hAnsi="Palatino Linotype"/>
                <w:sz w:val="16"/>
                <w:szCs w:val="16"/>
              </w:rPr>
              <w:t xml:space="preserve">0,130</w:t>
            </w:r>
          </w:p>
        </w:tc>
      </w:tr>
    </w:tbl>
    <w:p>
      <w:pPr>
        <w:sectPr>
          <w:type w:val="continuous"/>
          <w:pgSz w:w="11906" w:h="16838" w:orient="portrait"/>
          <w:pgMar w:top="1134" w:right="1134" w:bottom="1134" w:left="1134" w:header="708" w:footer="708" w:gutter="0"/>
          <w:pgNumType/>
          <w:cols w:num="1"/>
          <w:docGrid w:linePitch="360"/>
        </w:sectPr>
      </w:pPr>
    </w:p>
    <w:p>
      <w:pPr>
        <w:keepNext/>
        <w:spacing w:after="70" w:before="200"/>
      </w:pPr>
      <w:r>
        <w:rPr>
          <w:rFonts w:ascii="Palatino Linotype" w:cs="Palatino Linotype" w:eastAsia="Palatino Linotype" w:hAnsi="Palatino Linotype"/>
          <w:b/>
          <w:bCs/>
          <w:color w:val="1A1A1A"/>
          <w:sz w:val="21"/>
          <w:szCs w:val="21"/>
        </w:rPr>
        <w:t xml:space="preserve">Приложение B. Воспроизводимость</w:t>
      </w:r>
    </w:p>
    <w:p>
      <w:pPr>
        <w:spacing w:after="20" w:line="240"/>
        <w:jc w:val="both"/>
      </w:pPr>
      <w:r>
        <w:rPr>
          <w:rFonts w:ascii="Palatino Linotype" w:cs="Palatino Linotype" w:eastAsia="Palatino Linotype" w:hAnsi="Palatino Linotype"/>
          <w:sz w:val="19"/>
          <w:szCs w:val="19"/>
        </w:rPr>
        <w:t xml:space="preserve">Все числа статьи регенерируются из репозитория:</w:t>
      </w:r>
    </w:p>
    <w:tbl>
      <w:tblPr>
        <w:tblW w:type="dxa" w:w="9638"/>
        <w:tblBorders>
          <w:top w:val="single" w:color="D7E2DB" w:sz="3"/>
          <w:left w:val="single" w:color="D7E2DB" w:sz="3"/>
          <w:bottom w:val="single" w:color="D7E2DB" w:sz="3"/>
          <w:right w:val="single" w:color="D7E2DB" w:sz="3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backend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scripts.significance_analysis   # significance.json (6.1, 6.2)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scripts.power_analysis          # power_analysis.json (6.4)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scripts.isef_figures            # 4 фигуры + CSV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scripts.results_onepager        # docs/RESULTS.md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python -m pytest --ignore=tests/test_portwatch.py   # 157 тестов</w:t>
            </w:r>
          </w:p>
        </w:tc>
      </w:tr>
    </w:tbl>
    <w:sectPr>
      <w:type w:val="continuous"/>
      <w:pgSz w:w="11906" w:h="16838" w:orient="portrait"/>
      <w:pgMar w:top="1134" w:right="1134" w:bottom="1134" w:left="1134" w:header="708" w:footer="708" w:gutter="0"/>
      <w:pgNumType/>
      <w:cols w:space="454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1A"/>
        <w:sz w:val="19"/>
        <w:szCs w:val="19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523aa1ade757e495c443f46889ee0a5b946639.png"/><Relationship Id="rId8" Type="http://schemas.openxmlformats.org/officeDocument/2006/relationships/image" Target="media/171df3e3575383b655b04a9426bb257c8bc24438.png"/><Relationship Id="rId9" Type="http://schemas.openxmlformats.org/officeDocument/2006/relationships/image" Target="media/d823a4fac61c80987e17c1332d8dc51dd27bbfc4.png"/><Relationship Id="rId10" Type="http://schemas.openxmlformats.org/officeDocument/2006/relationships/image" Target="media/b46fe7d0f644b4f60d88d0ddc3fd2f9a0a85fa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GEDS — трёхосевая валидация (препринт)</dc:title>
  <dc:creator>GEDS</dc:creator>
  <cp:lastModifiedBy>Un-named</cp:lastModifiedBy>
  <cp:revision>1</cp:revision>
  <dcterms:created xsi:type="dcterms:W3CDTF">2026-07-24T04:50:36.990Z</dcterms:created>
  <dcterms:modified xsi:type="dcterms:W3CDTF">2026-07-24T04:50:37.013Z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