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120"/>
      </w:pPr>
      <w:r>
        <w:rPr>
          <w:rFonts w:ascii="Palatino Linotype" w:cs="Palatino Linotype" w:eastAsia="Palatino Linotype" w:hAnsi="Palatino Linotype"/>
          <w:b/>
          <w:bCs/>
          <w:color w:val="0E7C3A"/>
          <w:sz w:val="24"/>
          <w:szCs w:val="24"/>
        </w:rPr>
        <w:t xml:space="preserve">Article</w:t>
      </w:r>
    </w:p>
    <w:p>
      <w:pPr>
        <w:spacing w:after="120"/>
      </w:pPr>
      <w:r>
        <w:rPr>
          <w:rFonts w:ascii="Palatino Linotype" w:cs="Palatino Linotype" w:eastAsia="Palatino Linotype" w:hAnsi="Palatino Linotype"/>
          <w:b/>
          <w:bCs/>
          <w:color w:val="1A1A1A"/>
          <w:sz w:val="32"/>
          <w:szCs w:val="32"/>
        </w:rPr>
        <w:t xml:space="preserve">Can a Single Number Tell a Good Cascade Model from a Naive One? A Three-Axis Validation of a Global Supply-Chain Disruption Simulator on 27 Primary-Sourced Historical Events</w:t>
      </w:r>
    </w:p>
    <w:p>
      <w:pPr>
        <w:spacing w:after="40"/>
      </w:pPr>
      <w:r>
        <w:rPr>
          <w:rFonts w:ascii="Palatino Linotype" w:cs="Palatino Linotype" w:eastAsia="Palatino Linotype" w:hAnsi="Palatino Linotype"/>
          <w:sz w:val="22"/>
          <w:szCs w:val="22"/>
        </w:rPr>
        <w:t xml:space="preserve">Yerzat Mametayev</w:t>
      </w:r>
      <w:r>
        <w:rPr>
          <w:rFonts w:ascii="Palatino Linotype" w:cs="Palatino Linotype" w:eastAsia="Palatino Linotype" w:hAnsi="Palatino Linotype"/>
          <w:sz w:val="22"/>
          <w:szCs w:val="22"/>
          <w:vertAlign w:val="superscript"/>
        </w:rPr>
        <w:t xml:space="preserve"> 1,*</w:t>
      </w:r>
    </w:p>
    <w:p>
      <w:pPr>
        <w:spacing w:after="20"/>
      </w:pPr>
      <w:r>
        <w:rPr>
          <w:rFonts w:ascii="Palatino Linotype" w:cs="Palatino Linotype" w:eastAsia="Palatino Linotype" w:hAnsi="Palatino Linotype"/>
          <w:sz w:val="16"/>
          <w:szCs w:val="16"/>
          <w:vertAlign w:val="superscript"/>
        </w:rPr>
        <w:t xml:space="preserve">1</w:t>
      </w:r>
      <w:r>
        <w:rPr>
          <w:rFonts w:ascii="Palatino Linotype" w:cs="Palatino Linotype" w:eastAsia="Palatino Linotype" w:hAnsi="Palatino Linotype"/>
          <w:color w:val="595959"/>
          <w:sz w:val="16"/>
          <w:szCs w:val="16"/>
        </w:rPr>
        <w:t xml:space="preserve">  Nazarbayev Intellectual School of Physics and Mathematics in Semey, Semey, Kazakhstan</w:t>
      </w:r>
    </w:p>
    <w:p>
      <w:pPr>
        <w:spacing w:after="120"/>
      </w:pPr>
      <w:r>
        <w:rPr>
          <w:rFonts w:ascii="Palatino Linotype" w:cs="Palatino Linotype" w:eastAsia="Palatino Linotype" w:hAnsi="Palatino Linotype"/>
          <w:sz w:val="16"/>
          <w:szCs w:val="16"/>
          <w:vertAlign w:val="superscript"/>
        </w:rPr>
        <w:t xml:space="preserve">*</w:t>
      </w:r>
      <w:r>
        <w:rPr>
          <w:rFonts w:ascii="Palatino Linotype" w:cs="Palatino Linotype" w:eastAsia="Palatino Linotype" w:hAnsi="Palatino Linotype"/>
          <w:color w:val="595959"/>
          <w:sz w:val="16"/>
          <w:szCs w:val="16"/>
        </w:rPr>
        <w:t xml:space="preserve">  Correspondence: mametaeverzat014@gmail.com</w:t>
      </w:r>
    </w:p>
    <w:tbl>
      <w:tblPr>
        <w:tblW w:type="dxa" w:w="9638"/>
        <w:tblBorders>
          <w:top w:val="single" w:color="D7E2DB" w:sz="4"/>
          <w:left w:val="single" w:color="D7E2DB" w:sz="4"/>
          <w:bottom w:val="single" w:color="D7E2DB" w:sz="4"/>
          <w:right w:val="single" w:color="D7E2DB" w:sz="4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F5F7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20"/>
              <w:jc w:val="both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8"/>
                <w:szCs w:val="18"/>
              </w:rPr>
              <w:t xml:space="preserve">Abstract: </w:t>
            </w:r>
            <w:r>
              <w:rPr>
                <w:rFonts w:ascii="Palatino Linotype" w:cs="Palatino Linotype" w:eastAsia="Palatino Linotype" w:hAnsi="Palatino Linotype"/>
                <w:sz w:val="18"/>
                <w:szCs w:val="18"/>
              </w:rPr>
              <w:t xml:space="preserve">Global supply-chain disruptions — earthquakes, floods, canal blockages, financial crises — cascade across industries and countries, yet published simulation models are typically validated on one or two events and a single error metric. This work asks whether such validation can distinguish a substantive model from a naive baseline at all, and builds the infrastructure to answer it. We assemble a benchmark of 27 historical events (1999–2023, ten categories), each calibrated from primary sources under a written source-tier protocol, and a three-axis validation system scoring (1) global loss magnitude, (2) node-level cascade shape (peak, timing, recovery), and (3) spatial reach. Four models are tested: a novel SEIRS-bullwhip-hysteresis simulator (GEDS), a Leontief input–output model, linear network diffusion, and a naive mean predictor. On point magnitude no model significantly outperforms any other (all six pairwise permutation tests p ≥ 0.09 at N=27), and the result survives leave-one-out per-fold recalibration (p = 0.89): single-number validation cannot separate these models. A power analysis shows that at N=27 the minimum detectable effect (0.018 MAE) exceeds the real inter-model differences (~0.007), so the parity is resolution-limited rather than proven. Trajectory validation does separate the models: GEDS, the only model producing full trajectories, ranks recovery durations at Spearman 0.88 (95% CI 0.56–0.99) and peak timing at 0.69 (0.20–0.87). Replacing the hand-built 12-country graph with the 405-node OECD ICIO graph raises spatial reach from 0.29 to 0.79 with no parameter tuning. All results are deterministic, locked by golden tests, and reproducible from an open repository.</w:t>
            </w:r>
          </w:p>
        </w:tc>
      </w:tr>
    </w:tbl>
    <w:p>
      <w:pPr>
        <w:spacing w:after="60" w:before="80"/>
        <w:jc w:val="both"/>
      </w:pPr>
      <w:r>
        <w:rPr>
          <w:rFonts w:ascii="Palatino Linotype" w:cs="Palatino Linotype" w:eastAsia="Palatino Linotype" w:hAnsi="Palatino Linotype"/>
          <w:b/>
          <w:bCs/>
          <w:sz w:val="18"/>
          <w:szCs w:val="18"/>
        </w:rPr>
        <w:t xml:space="preserve">Keywords: 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supply chains; shock propagation; model validation; SEIRS; bootstrap; permutation test; power analysis; OECD ICIO; cascade benchmark</w:t>
      </w:r>
    </w:p>
    <w:tbl>
      <w:tblPr>
        <w:tblW w:type="dxa" w:w="9638"/>
        <w:tblBorders>
          <w:top w:val="none" w:color="FFFFFF" w:sz="0"/>
          <w:left w:val="single" w:color="0E7C3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tcMar>
              <w:top w:type="dxa" w:w="60"/>
              <w:left w:type="dxa" w:w="160"/>
              <w:bottom w:type="dxa" w:w="60"/>
              <w:right w:type="dxa" w:w="60"/>
            </w:tcMar>
          </w:tcPr>
          <w:p>
            <w:pPr>
              <w:spacing w:after="40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0E7C3A"/>
                <w:sz w:val="17"/>
                <w:szCs w:val="17"/>
              </w:rPr>
              <w:t xml:space="preserve">Highlights</w:t>
            </w:r>
          </w:p>
          <w:p>
            <w:pPr>
              <w:spacing w:after="20" w:line="220"/>
              <w:ind w:left="200" w:hanging="160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•  Single-number validation cannot rank four supply-chain cascade models at N=27 (all pairwise p ≥ 0.09).</w:t>
            </w:r>
          </w:p>
          <w:p>
            <w:pPr>
              <w:spacing w:after="20" w:line="220"/>
              <w:ind w:left="200" w:hanging="160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•  The null is quantified, not assumed: minimum detectable effect 0.018 MAE vs. real gaps ~0.007; ~166 events needed to resolve.</w:t>
            </w:r>
          </w:p>
          <w:p>
            <w:pPr>
              <w:spacing w:after="20" w:line="220"/>
              <w:ind w:left="200" w:hanging="160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•  Trajectory validation separates the models: recovery-duration ranking Spearman 0.88 (95% CI 0.56–0.99).</w:t>
            </w:r>
          </w:p>
          <w:p>
            <w:pPr>
              <w:spacing w:after="20" w:line="220"/>
              <w:ind w:left="200" w:hanging="160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•  Grounding the graph in OECD ICIO data lifts spatial reach 0.29 → 0.79 with zero parameter tuning.</w:t>
            </w:r>
          </w:p>
        </w:tc>
      </w:tr>
    </w:tbl>
    <w:p>
      <w:pPr>
        <w:pBdr>
          <w:left w:val="single" w:color="0E7C3A" w:sz="18" w:space="10"/>
        </w:pBdr>
        <w:spacing w:after="100" w:before="40"/>
        <w:ind w:left="160"/>
      </w:pPr>
      <w:r>
        <w:rPr>
          <w:rFonts w:ascii="Palatino Linotype" w:cs="Palatino Linotype" w:eastAsia="Palatino Linotype" w:hAnsi="Palatino Linotype"/>
          <w:color w:val="595959"/>
          <w:sz w:val="15"/>
          <w:szCs w:val="15"/>
        </w:rPr>
        <w:t xml:space="preserve">Type: working preprint (ISEF project).  </w:t>
      </w:r>
      <w:r>
        <w:rPr>
          <w:rFonts w:ascii="Palatino Linotype" w:cs="Palatino Linotype" w:eastAsia="Palatino Linotype" w:hAnsi="Palatino Linotype"/>
          <w:color w:val="595959"/>
          <w:sz w:val="15"/>
          <w:szCs w:val="15"/>
        </w:rPr>
        <w:t xml:space="preserve">Received / Accepted / Published: —.  </w:t>
      </w:r>
      <w:r>
        <w:rPr>
          <w:rFonts w:ascii="Palatino Linotype" w:cs="Palatino Linotype" w:eastAsia="Palatino Linotype" w:hAnsi="Palatino Linotype"/>
          <w:color w:val="595959"/>
          <w:sz w:val="15"/>
          <w:szCs w:val="15"/>
        </w:rPr>
        <w:t xml:space="preserve">Copyright: © 2026 the author(s). CC BY 4.0.  </w:t>
      </w:r>
      <w:r>
        <w:rPr>
          <w:rFonts w:ascii="Palatino Linotype" w:cs="Palatino Linotype" w:eastAsia="Palatino Linotype" w:hAnsi="Palatino Linotype"/>
          <w:color w:val="595959"/>
          <w:sz w:val="15"/>
          <w:szCs w:val="15"/>
        </w:rPr>
        <w:t xml:space="preserve">All numbers are generated from repository artifacts and reproducible under fixed seeds.</w:t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1. Introduction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1.1. Motivation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The 2021 blockage of the Suez Canal by the container ship Ever Given halted roughly 12% of world trade for six days; the 2011 Thai floods cut national vehicle output by 87.5% at their monthly peak; the 2020–2021 chip shortage cost the global auto industry 9.5 million unbuilt vehicles. Policymakers and firms need models that predict how a local shock will propagate across the global production network. The literature offers dozens of such models — yet almost every one is validated on one or two events, most often against a single scalar.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This work began as building yet another model. It ended with a different conclusion: the standard way of validating such models cannot tell a complex model from a naive one, and so a validation instrument that can was built instead.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1.2. Research question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Can single-number validation (peak loss magnitude) distinguish a substantive shock-propagation model from trivial baselines — and if not, which validation axes do separate the models?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1.3. Contributions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1.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Benchmark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27 historical disruption events (1999–2023) with calibration targets from primary sources under a written source-tier protocol, plus a library of 17+ documented near-misses as a negative control.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2.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Three-axis validation system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global magnitude (Track A), shocked-node trajectory shape (Track B), spatial reach and onset order.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3.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Statistical layer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event-level bootstrap, paired bootstrap with shared indices, sign-flip permutation tests, and a power analysis — every “better/worse” comes with a confidence interval and a p-value.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4.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An honest headline result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magnitude parity of all four models at N=27 (in- and out-of-sample, and this is a power limit, not equivalence) and significant separation on the trajectory axes, where only GEDS competes.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5.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A mechanistic finding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peak timing was at chance because the engine lacked a rising forcing shape; the defect was localized and the fix adopted through a pre-registered gated experiment.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2. Related Work and Positioning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The work sits at the intersection of four literatures; full references are in the References section.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Shock propagation in production networks.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The theoretical foundation was laid by Acemoglu et al. [1] on the network origins of aggregate fluctuations, with continuations on micro-origins and distortions (Acemoglu et al. [2]; Baqaee [3]; Bigio &amp; La'O [4]). The empirical side was established by Carvalho et al. [5], who traced the Tōhoku earthquake cascade through real supplier chains, Barrot &amp; Sauvagnat [6] via input specificity, and Boehm et al. [7]. Granularity as a source of aggregate fluctuations: Gabaix [8], di Giovanni &amp; Levchenko [9], Oberfield et al. [10]. Our work adds no theory here — it uses this structure as a substrate and asks how well dynamic models on it predict real cascades.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Simulation and agent-based models.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Inoue &amp; Todo [11] built a firm-level agent-based model of supply-chain propagation; Otto et al. [12] (Acclimate) model climate shocks on international trade. These are typically validated on a single event class; our contribution is orthogonal — a comparative-validation system in which such models can be placed side by side on a common benchmark.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Financial contagion.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Network propagation is well studied in finance: Allen &amp; Gale [13], Gai &amp; Kapadia [14], Battiston et al. [15], Elliott et al. [16], Haldane &amp; May [17], Acemoglu et al. [20]. We borrow the threshold-cascade idea (a node enters “distress” when losses exceed an endogenous threshold) but apply it to production output.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Epidemic dynamics and forecast validation.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Transferring SEIR schemes to economics accelerated after COVID (Eichenbaum et al. [18]; Coquidé et al. [19]; Starnini et al. [21]). A separate relevant thread is comparative-validation methodology — forecasting competitions and temporal-graph benchmarks have repeatedly found simple methods indistinguishable from complex ones; our result reproduces this pattern in a new domain.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Niche.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To the best of our knowledge, no published work combines SEIRS dynamics, the bullwhip effect and hysteresis in one engine and, more importantly, validates a cascade model simultaneously on magnitude, trajectory shape and spatial reach across dozens of heterogeneous events with a full statistical layer. The gap this work closes is not “yet another model” but “how to compare such models honestly.”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3. Data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3.1. Event benchmark (N=27)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Each event specifies: the shocked node (country:industry or chokepoint), source-side shock magnitude, duration, forcing shape, horizon; and an observed target — the global/industry output loss from a primary source. The full list is Appendix A. Categories: earthquakes, floods, fires, lockdowns, energy crises, port congestion, chokepoint blockages, trade controls, strikes, financial crisis.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Source-tier protocol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(written): tier 1 — industry statistical agencies (OICA, JAMA, VDA, SIA) and official macro data (central banks, IMF, IMF PortWatch [26]); tier 2 — company filings; tier 3 (Reuters/Bloomberg/Nikkei) only when quoting tier 1/2. Rules: peak is distinguished from residual; derived numbers are tagged [DERIVED]; the node is assigned by where production occurred.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Negative control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events without a clean primary number (Philips 2000 fire) or with structural graph gaps (Boeing 737 MAX) are documented as not-wired with the reason, not fitted. The base contains 17+ near-misses — events with little actual cascade: the model is penalized for false positives.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3.2. Trajectory targets and graph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For Track B we collect: peak output loss of the shocked sector in the source country (measured targets only, status “null” with a reason where no source exists); weeks-to-peak and weeks-to-90%-recovery; 62 rows of “event → affected node → onset week” each primary-sourced. Graph v2: 41 nodes (12 countries × 6 industries + 5 chokepoints), weights cross-checked against OECD ICIO [25] (Spearman 0.79–0.84). Graph v3: 405 nodes (81 economies × 5 sectors) directly from the ICIO 2019 tables.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4. Models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GEDS (SEIRS-Bullwhip-Hysteresis)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— the proposed engine: each node moves through Susceptible → Exposed (an inventory buffer absorbs incoming shortfall) → Infected (output loss with nonlinear amplification) → Recovered (hysteresis).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Baselines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(zero fitted parameters): a Leontief input–output model, linear network diffusion, a naive mean predictor. The configuration is deterministic (stochastic_sigma = 0, seed = 0) and pinned by a golden test.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4.1. Formal engine specification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Let s_i(t) ∈ [0, 1] be the shock level of node i in week t and D_eff the effective-dependency matrix. The per-step update (vectorized over nodes). Incoming pressure with the bullwhip effect, where β_i = bullwhip factor (1.25 in state E):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in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= 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β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Σ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j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D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eff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[i,j] · 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j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(1)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Impact impulse (δ — propagation decay, V — vulnerability, A — nonlinear amplification, ρ — resilience, the (1−s) factor giving saturation):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Δ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= 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δ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in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· V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A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(1−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ρ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) · (1−s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(2)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Weekly recovery rate tied to the node delay delay_i (8 weeks reference):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γ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= clip( recovery_rate · (8 / max(delay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, 0.5)), 0, 0.95 )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(3)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State transition, where x_i is the event's external forcing (shape step/linear/exp/ramp), r_i = γ_i·s_i for unforced nodes, ε — noise (ε ≡ 0 in the benchmark):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(t+1) = clip( max( x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(t+1), 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+ Δ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− r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+ 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ε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), 0, 1 )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(4)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Observed node output loss (η — elasticity, f_i — the R-state hysteresis floor, ≥ 0.30 while recovering):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L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= max( 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· 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η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(1−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ρ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), f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(5)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Scalar cascade-severity index (c_i — node centrality, d_i — input exposure):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CSI(t) = (1/N) · Σ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· c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d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(6)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SEIRS states.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A node moves S→E when incoming pressure crosses a trigger (an inventory buffer of depth inventory_scale absorbs the shortfall), E→I, I→R as the shock recedes; in R it holds for delay_i weeks with output floor f_i, then returns to S — this is the hysteresis.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Five calibrated parameters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θ = (amplification_mu, bullwhip_factor, recovery_rate, inventory_scale, distress_base); all other quantities are structural or fixed. Baselines formally: Leontief solves an (I−A)^{-1}-type loss equilibrium; linear diffusion iterates s(t+1)=s(t)+δ·(W·s(t)) with no saturation or recovery; the naive predictor returns the sample mean.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5. Validation Methods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5.1. Three axes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Track A (magnitude)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predicted vs. observed global/industry loss, N=27; MAE, RMSE, Spearman.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Track B (shape)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the shocked node's own trajectory: peak magnitude (n=5), weeks-to-peak (n=15), weeks-to-90%-recovery (n=11).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Spatial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the share of historically-hit nodes the cascade reaches (recall), and the rank correlation of onset order.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5.2. Statistical layer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At N=27 the question “is the difference significant?” comes first. All procedures are deterministic (seed 20260718) and resample whole events.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Bootstrap CIs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per metric: 10,000 resamples, percentile 95% intervals.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Paired bootstrap of differences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shared resample indices for both models.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Sign-flip permutation test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for a pair (A, B) with per-event absolute errors e_A, e_B: statistic T = |mean(|e_A|−|e_B|)|; under H0 each difference's sign is flipped independently (20,000 permutations); two-sided p: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p = (1 + #{ T* ≥ T }) / (20000 + 1)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(7)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Power analysis / minimum detectable effect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for paired differences d_i, the smallest mean MAE difference detectable at 80% power and α=0.05, and the N required for the observed difference: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MDE = (z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0.975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+ z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0.80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) · sd(d) / √N ,   N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req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= ( 2.80 · sd(d) / |mean(d)| )</w:t>
      </w:r>
      <w:r>
        <w:rPr>
          <w:rFonts w:ascii="Palatino Linotype" w:cs="Palatino Linotype" w:eastAsia="Palatino Linotype" w:hAnsi="Palatino Linotype"/>
          <w:sz w:val="18"/>
          <w:szCs w:val="18"/>
          <w:vertAlign w:val="superscript"/>
        </w:rPr>
        <w:t xml:space="preserve">2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(8)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Out-of-sample check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leave-one-out cross-validation with per-fold differential-evolution recalibration of the five parameters — the held-out event never influences its own parameters; the baselines have no parameters.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5.3. Pre-registration of mechanism changes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Every engine change passes a pre-declared gate. Negative outcomes are preserved in the project record: inventory absorption, per-node recovery, hysteresis-floor removal — all three improved in-sample metrics and were rejected by the out-of-sample gate. The adopted change (ramp, §6.3) passed the same protocol.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6. Results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6.1. Track A: magnitude parity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The four models at default parameters are in Table 1. Point estimates suggest a hierarchy, but none of the six pairwise MAE differences is significant (Figure 1): GEDS−Leontief ΔMAE +0.0074 [−0.0031; +0.0218], p=0.42; Leontief−naive −0.0040 [−0.0083; +0.0005], p=0.09; the rest p=0.21–0.97.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At N=27 single-number validation does not rank these models.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The only significant Track-A signals are rank-based: linear diffusion (0.72 [0.40; 0.91]) and GEDS (0.45 [0.06; 0.73]).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Table 1.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Four models at default parameters; MAE / RMSE / Spearman with 95% bootstrap CIs (N=27).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400"/>
        <w:gridCol w:w="2079"/>
        <w:gridCol w:w="2079"/>
        <w:gridCol w:w="2080"/>
      </w:tblGrid>
      <w:tr>
        <w:trPr>
          <w:tblHeader/>
        </w:trPr>
        <w:tc>
          <w:tcPr>
            <w:tcW w:type="dxa" w:w="34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Model</w:t>
            </w:r>
          </w:p>
        </w:tc>
        <w:tc>
          <w:tcPr>
            <w:tcW w:type="dxa" w:w="2079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MAE [95% CI]</w:t>
            </w:r>
          </w:p>
        </w:tc>
        <w:tc>
          <w:tcPr>
            <w:tcW w:type="dxa" w:w="2079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RMSE [95% CI]</w:t>
            </w:r>
          </w:p>
        </w:tc>
        <w:tc>
          <w:tcPr>
            <w:tcW w:type="dxa" w:w="208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Spearman [95% CI]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(SEIRS-b.-h.)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0.0242 [0.011; 0.040]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0.0464 [0.021; 0.067]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0.45 [0.06; 0.73]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Leontief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0.0168 [0.008; 0.028]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0.0313 [0.011; 0.046]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0.34 [−0.10; 0.67]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Linear diffusion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0.0171 [0.009; 0.029]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0.0317 [0.012; 0.049]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0.72 [0.40; 0.91]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Naive mean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0.0208 [0.013; 0.031]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0.0324 [0.014; 0.047]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— (constant)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30" w:before="60"/>
        <w:jc w:val="center"/>
      </w:pPr>
      <w:r>
        <w:drawing>
          <wp:inline distT="0" distB="0" distL="0" distR="0">
            <wp:extent cx="5143500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Figure 1.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Pairwise MAE differences (first minus second) with 95% paired-bootstrap CIs and two-sided permutation p. All six pairs cross zero.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30" w:before="60"/>
        <w:jc w:val="center"/>
      </w:pPr>
      <w:r>
        <w:drawing>
          <wp:inline distT="0" distB="0" distL="0" distR="0">
            <wp:extent cx="5143500" cy="4819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81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Figure 2.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Predicted vs. observed per model, N=27; the dashed line is perfect agreement.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6.2. Track B: the trajectory axes separate the models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Neither Leontief nor the naive mean produces trajectories; linear diffusion gives a curve with no recovery. Only GEDS produces the full “peak → decay → recovery” shape — and on these axes the result is significant (Table 2). Recovery-duration ranking (0.88) is the strongest result; both timing CIs exclude zero. The magnitude axis at n=5 is statistically empty and is stated only as a limitation.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Table 2.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Track B: node-level trajectory-shape axes (the only axes that only GEDS produces).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900"/>
        <w:gridCol w:w="3138"/>
        <w:gridCol w:w="2000"/>
      </w:tblGrid>
      <w:tr>
        <w:trPr>
          <w:tblHeader/>
        </w:trPr>
        <w:tc>
          <w:tcPr>
            <w:tcW w:type="dxa" w:w="3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Axis</w:t>
            </w:r>
          </w:p>
        </w:tc>
        <w:tc>
          <w:tcPr>
            <w:tcW w:type="dxa" w:w="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n</w:t>
            </w:r>
          </w:p>
        </w:tc>
        <w:tc>
          <w:tcPr>
            <w:tcW w:type="dxa" w:w="31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Spearman [95% CI]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MAE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Node peak magnitude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5</w:t>
            </w:r>
          </w:p>
        </w:tc>
        <w:tc>
          <w:tcPr>
            <w:tcW w:type="dxa" w:w="31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0.60 [−1.00; 1.00] — not claimed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0.42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Weeks to peak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15</w:t>
            </w:r>
          </w:p>
        </w:tc>
        <w:tc>
          <w:tcPr>
            <w:tcW w:type="dxa" w:w="31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0.69 [0.20; 0.87]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7.1 wk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Weeks to 90% recovery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11</w:t>
            </w:r>
          </w:p>
        </w:tc>
        <w:tc>
          <w:tcPr>
            <w:tcW w:type="dxa" w:w="31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0.88 [0.56; 0.99]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8.5 wk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Robustness to single points (jackknife).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A leave-one-out test (drop each event and recompute Spearman) refutes the concern that a correlation rests on one point: for weeks-to-peak the full estimate is 0.691, LOO range [0.619; 0.790]; for recovery the full estimate is 0.883, LOO range [0.843; 0.917]. No single event drops the correlation below 0.62 and 0.84 respectively.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6.3. Mechanistic finding: why timing was at chance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Before this work weeks-to-peak scored Spearman 0.07 [−0.43; +0.53] — chance level. Forensics localized the cause: all three implemented forcing shapes (step, linear, exp) peak at onset, and the ratchet state update renders a declining forcing as a rectangular pulse — 12 of 15 predicted peaks fell on week 0. The engine lacked a “slowly rising shock” shape, which droughts, congestion and demand collapses require.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The fix: a ramp shape (linear rise) was added and four events were moved to it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by real-world mechanism, declared before running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. The pre-registered four-criterion gate passed: weeks-to-peak Spearman 0.07 → 0.69; other axes drop 0.00; benchmark cost +0.0001 MAE; untouched events bit-identical (Figure 3).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30" w:before="60"/>
        <w:jc w:val="center"/>
      </w:pPr>
      <w:r>
        <w:drawing>
          <wp:inline distT="0" distB="0" distL="0" distR="0">
            <wp:extent cx="5143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Figure 3.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Weeks to peak: predicted vs. observed before (open) and after (filled) adopting the ramp shape; Spearman 0.07 → 0.69.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6.4. Out-of-sample check and power analysis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27-fold LOO with per-fold DE recalibration: MAE 0.0192, RMSE 0.0422, Pearson 0.25, Spearman 0.56, R² −0.70. Paired vs. Leontief: ΔMAE +0.0024 [−0.0073; +0.0167], p=0.89 — parity holds out-of-sample too. Two systematic misses are stated honestly: Chi-Chi 1999 (0.19 vs. 0.005 — the source node does not heal within the horizon) and the 2008–09 crisis (0.051 vs. 0.130 — a demand collapse is structurally unlike the supply cascades the engine models).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Parity is a power limit, not a proven equivalence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(Table 3). At N=27 the minimum detectable effect for GEDS/Leontief is 0.0184, whereas the observed differences ~0.004–0.007 lie below resolution. Resolving the observed difference would require ≈166 events. This turns the null into a bounded, actionable statement and a target for the dataset.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Table 3.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Power analysis: minimum detectable effect at N=27 and the N required for the observed difference.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4238"/>
        <w:gridCol w:w="1800"/>
        <w:gridCol w:w="1800"/>
        <w:gridCol w:w="1800"/>
      </w:tblGrid>
      <w:tr>
        <w:trPr>
          <w:tblHeader/>
        </w:trPr>
        <w:tc>
          <w:tcPr>
            <w:tcW w:type="dxa" w:w="42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Pair</w:t>
            </w:r>
          </w:p>
        </w:tc>
        <w:tc>
          <w:tcPr>
            <w:tcW w:type="dxa" w:w="1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obs. ΔMAE</w:t>
            </w:r>
          </w:p>
        </w:tc>
        <w:tc>
          <w:tcPr>
            <w:tcW w:type="dxa" w:w="1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MDE at N=27</w:t>
            </w:r>
          </w:p>
        </w:tc>
        <w:tc>
          <w:tcPr>
            <w:tcW w:type="dxa" w:w="1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N to detect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vs Leontief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+0.0074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0.0184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≈166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vs linear diffusion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+0.0071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0.0149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≈119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Leontief vs naive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−0.0040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0.0064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≈69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6.5. Spatial: network completeness, not tuning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Same engine, same shocks — only the graph changes (Table 4). The dense graph closes exactly the gaps the hand-built one could not express (the Renesas-fire cascade into foreign automotive: 0/4 → 3/4). Onset order on reached nodes ranks well (Spearman 0.79). No parameter changed: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the binding constraint is network completeness, not the fineness of the dynamics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(Figure 4).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Table 4.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Cascade spatial reach: hand-built graph v2 vs. the ICIO graph v3.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838"/>
        <w:gridCol w:w="2000"/>
        <w:gridCol w:w="3800"/>
      </w:tblGrid>
      <w:tr>
        <w:trPr>
          <w:tblHeader/>
        </w:trPr>
        <w:tc>
          <w:tcPr>
            <w:tcW w:type="dxa" w:w="38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Graph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Nodes</w:t>
            </w:r>
          </w:p>
        </w:tc>
        <w:tc>
          <w:tcPr>
            <w:tcW w:type="dxa" w:w="3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Spatial recall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v2, hand-built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36</w:t>
            </w:r>
          </w:p>
        </w:tc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0.29 (10/35)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v3, OECD ICIO 2019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405</w:t>
            </w:r>
          </w:p>
        </w:tc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0.79 (30/38)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30" w:before="60"/>
        <w:jc w:val="center"/>
      </w:pPr>
      <w:r>
        <w:drawing>
          <wp:inline distT="0" distB="0" distL="0" distR="0">
            <wp:extent cx="5143500" cy="3819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Figure 4.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Cascade spatial reach per event: share of historically-hit nodes reached on the hand-built graph v2 (open) and the ICIO graph v3 (filled).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6.6. Component ablation: what of the complex model actually works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The standard question of a multi-component model is which parts carry weight. A component ablation (N=27, each component disabled in turn — Table 5) gives an uncomfortable but honest answer. Two components — the SEIS state machine and adaptive rerouting — contribute exactly zero on this set; the only component whose removal </w:t>
      </w:r>
      <w:r>
        <w:rPr>
          <w:rFonts w:ascii="Palatino Linotype" w:cs="Palatino Linotype" w:eastAsia="Palatino Linotype" w:hAnsi="Palatino Linotype"/>
          <w:i/>
          <w:iCs/>
          <w:sz w:val="19"/>
          <w:szCs w:val="19"/>
        </w:rPr>
        <w:t xml:space="preserve">hurts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is the bullwhip effect (+0.0023). Removing the R-state floor improves in-sample error (−0.0074), but that removal already failed the pre-registered out-of-sample gate (§5.3) and is rejected. Conclusion: at N=27 the engine's complexity largely does not pay off on the magnitude axis — consistent with §6.1 and pointing to growing N and the trajectory axes rather than adding mechanisms.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Table 5.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Component ablation of the engine (N=27): each component's contribution to MAE.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5638"/>
        <w:gridCol w:w="2000"/>
        <w:gridCol w:w="2000"/>
      </w:tblGrid>
      <w:tr>
        <w:trPr>
          <w:tblHeader/>
        </w:trPr>
        <w:tc>
          <w:tcPr>
            <w:tcW w:type="dxa" w:w="56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Variant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MAE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ΔMAE vs. full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Full engine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0.0242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−SEIS (no state machine)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0.0242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0.0000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−adaptive rerouting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0.0242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0.0000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−bullwhip (β = 1)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0.0266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+0.0023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−R-state floor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0.0169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−0.0074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+per-node recovery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0.0233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−0.0009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pure linear diffusion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0.0171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−0.0071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6.7. Parameter sensitivity and identifiability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A variance-based Sobol sensitivity analysis (1536 engine runs, output mean_industry_loss_MAE, N=27 — Table 6) asks whether the five parameters are identifiable. Two parameters carry the output variance — recovery_rate (ST 0.62) and inventory_scale (ST 0.59) — and their low first-order indices (S1 0.39 and 0.42) against high total effects signal strong interaction between them (ST sum ≈ 1.30 ≫ 1); two parameters are negligible and can be fixed, and one is minor. Thus three of five parameters are effectively non-identifiable individually, with the fitting freedom concentrated in a strongly-coupled (recovery_rate, inventory_scale) pair. This independently corroborates §6.6 (the model is over-complex relative to what the N=27 data can constrain) and explains why per-fold recalibration (§6.4) so easily masks structural edits. (MCMC at 350 steps did not converge, r̂=2.03; Bayesian intervals are left to a longer future run.)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Table 6.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Sobol sensitivity indices (N=27): total effect ST and first-order S1 for the five parameters.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238"/>
        <w:gridCol w:w="1600"/>
        <w:gridCol w:w="1600"/>
        <w:gridCol w:w="3200"/>
      </w:tblGrid>
      <w:tr>
        <w:trPr>
          <w:tblHeader/>
        </w:trPr>
        <w:tc>
          <w:tcPr>
            <w:tcW w:type="dxa" w:w="32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Parameter</w:t>
            </w:r>
          </w:p>
        </w:tc>
        <w:tc>
          <w:tcPr>
            <w:tcW w:type="dxa" w:w="1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ST</w:t>
            </w:r>
          </w:p>
        </w:tc>
        <w:tc>
          <w:tcPr>
            <w:tcW w:type="dxa" w:w="1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S1</w:t>
            </w:r>
          </w:p>
        </w:tc>
        <w:tc>
          <w:tcPr>
            <w:tcW w:type="dxa" w:w="32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Reading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recovery_rate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0.617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0.392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variance + interactions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inventory_scale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0.592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0.416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variance + interactions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bullwhip_factor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0.077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0.011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minor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amplification_mu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0.010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0.002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negligible — can be fixed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distress_base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0.000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0.000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negligible — can be fixed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6.8. Structure versus tuning: the dense graph with a single parameter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Section 6.5 showed the ICIO graph reaches far more of the observed cascade, but its magnitudes were never scored: v3's parameters are uncalibrated structural priors and its predictions run roughly four times hot. Is that a shape error or a scale error?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It is scale. At default parameters the raw v3 ranks events markedly better than the fully calibrated v2 (Spearman 0.80 vs. 0.44) while systematically over-predicting (mean prediction 0.090 vs. observed 0.023). We added a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single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free quantity — a global scale factor fitted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out-of-sample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(leave-one-out: k is least-squares estimated on the other N−1 events and applied to the held-out one). Chokepoint events have no v3 representation, so all models are scored on the same 24 events (Table 7). The mean LOO factor k ≈ 0.26 is stable across folds.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Table 7.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The dense ICIO graph with one out-of-sample scale factor versus the calibrated v2 engine and the zero-parameter baselines (same 24 events).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838"/>
        <w:gridCol w:w="1900"/>
        <w:gridCol w:w="1950"/>
        <w:gridCol w:w="1950"/>
      </w:tblGrid>
      <w:tr>
        <w:trPr>
          <w:tblHeader/>
        </w:trPr>
        <w:tc>
          <w:tcPr>
            <w:tcW w:type="dxa" w:w="38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Model</w:t>
            </w:r>
          </w:p>
        </w:tc>
        <w:tc>
          <w:tcPr>
            <w:tcW w:type="dxa" w:w="1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Free params</w:t>
            </w:r>
          </w:p>
        </w:tc>
        <w:tc>
          <w:tcPr>
            <w:tcW w:type="dxa" w:w="195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MAE</w:t>
            </w:r>
          </w:p>
        </w:tc>
        <w:tc>
          <w:tcPr>
            <w:tcW w:type="dxa" w:w="195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Spearman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v3 + LOO scale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0.0133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+0.788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Leontief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0.0182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+0.331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Linear diffusion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0.0185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+0.707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Naive mean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0.0227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v2 (calibrated)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5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0.0266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+0.444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v3 raw (no scale)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0.0677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+0.802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This is the first configuration to lead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every metric at once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— achieved with one parameter instead of five.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What we do not claim: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no advantage is significant — against Leontief ΔMAE −0.0049 (p = 0.34), against linear diffusion −0.0052 (p = 0.50), against the naive mean −0.0094 (p = 0.06), against v2 −0.0132 (p = 0.17). The §6.1 parity finding is therefore not overturned but confirmed once more, now on the best available configuration: even it does not separate from the baselines at this N — exactly what the §6.4 power analysis predicts.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The substantive meaning lies elsewhere. Replacing the hand-built graph with measured input–output structure buys more on magnitude than calibrating five dynamics parameters on the hand-built graph (0.0133 vs. 0.0266) — the magnitude-axis counterpart of the spatial result in §6.5. Both point the same way: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the information carried by network completeness and accuracy is not substitutable by parameter tuning.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6.9. Full v3 calibration: five parameters are significantly WORSE than one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The five-parameter LOO calibration on the dense graph (24 folds, per-fold differential evolution) was run and returns an unexpected result — Table 7. Pairwise, one parameter against five: ΔMAE = −0.0148, 95% CI [−0.0292, −0.0031], p = 0.037 —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significant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. This is the only statistically significant model difference anywhere in this work, and it concerns parsimony: on a 405-node graph with ~23 training events per fold, four extra degrees of freedom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measurably hurt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generalisation. It converges with §6.6 (two components contribute exactly zero) and §6.7 (three of five parameters non-identifiable) — three independent methods reaching the same over-parameterization verdict.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Table 7.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Full out-of-sample comparison on the dense v3 graph (24 folds, leave-one-out).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4238"/>
        <w:gridCol w:w="1600"/>
        <w:gridCol w:w="1800"/>
        <w:gridCol w:w="2000"/>
      </w:tblGrid>
      <w:tr>
        <w:trPr>
          <w:tblHeader/>
        </w:trPr>
        <w:tc>
          <w:tcPr>
            <w:tcW w:type="dxa" w:w="42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Configuration</w:t>
            </w:r>
          </w:p>
        </w:tc>
        <w:tc>
          <w:tcPr>
            <w:tcW w:type="dxa" w:w="1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Params</w:t>
            </w:r>
          </w:p>
        </w:tc>
        <w:tc>
          <w:tcPr>
            <w:tcW w:type="dxa" w:w="1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MAE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Spearman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v3 + single LOO-fitted scale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0.0133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+0.788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v3 + five per-fold DE params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5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0.0281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+0.565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v2 + five calibrated params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5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0.0266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+0.444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Leontief / diffusion / naive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0.0182 / 0.0185 / 0.0227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—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6.10. The dense graph closes both structural walls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The two systematic misses declared unsolved in §6.4 — and resistant to three pre-registered mechanism experiments — nearly vanish on the dense graph (out-of-sample, LOO-DE): Chi-Chi 1999 absolute error 0.188 → 0.014 (13.6×) and the 2008–09 crisis 0.079 → 0.028 (2.9×). This changes the diagnosis of both. Chi-Chi failed to heal, and the 2008–09 crisis was under-predicted, not because the engine lacked a mechanism but because a hand-built 41-node graph could not express the paths along which those shocks actually travelled. The three attempts to fix the dynamics (§5.3) failed precisely because they treated the wrong cause.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Both walls were network-coverage problems, not dynamics problems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— the strongest confirmation of this paper's central claim.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Honest caveats to §6.9–6.10: the event set here is 24 (chokepoint-only events have no v3 node), so these numbers are not directly comparable with the headline N=27; and the model class (a scale correction) was chosen after v3's behaviour was known — the scale itself is fitted leave-one-out, but the choice of that correction form was not pre-registered. The advantage over the zero-parameter baselines remains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non-significant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(p = 0.06–0.50), so the §6.1 parity headline stands.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7. Discussion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Three results combine into one conclusion. (1) On the axis almost every paper reports — point magnitude — four fundamentally different models are statistically indistinguishable, and this is not an artifact of weak tuning: the parity survives per-fold recalibration and is quantitatively power-limited. (2) The axes that do separate the models are temporal and spatial: where only a full dynamic model can even compete, its results are significant (0.69 and 0.88). (3) The largest measured quality gain came not from dynamics but from network-structure data (recall 0.29 → 0.79, free in parameters).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Practical takeaway: cascade models should be validated by “predict the pattern, not one number,” or leaderboards compare noise. Methodological takeaway: pre-registering gates turns negative results into publishable assets.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8. Limitations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N=27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for Track A and n=5/15/11 for Track B — power is limited; absence of significance is not equivalence (§6.4).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The node-magnitude axis is empty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(n=5, CI [−1; 1]): monthly fab-output indices are seldom published.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Two structural misses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(Chi-Chi, the 2008–09 crisis) are described but not solved; three fix attempts were rejected by the out-of-sample gate.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Baselines are canonical rather than published implementations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comparison against published cascade models [11,12] is the next step.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Graph completeness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v2 omits several real producers; v3 (405 nodes) is not yet calibrated on magnitudes.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9. Reproducibility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The engine configuration is pinned (fixed seeds, stochasticity off); results are frozen by golden tests, and any numeric change is an explicit diff in the same commit. The statistical layer is deterministic (seed 20260718). The headline-numbers document and all figures are generated by scripts from artifacts; each figure ships with its numeric table. 157 automated tests. Exact commands are in Appendix B.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10. Conclusion and Future Work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The benchmark and three-axis validation give a way to tell cascade models apart in a statistically honest manner. Next: grow N via chokepoint events (IMF PortWatch transit data sidesteps the aggregate-dilution problem); calibrate magnitudes on the 405-node ICIO graph; a demand-side mechanism for 2008–09-type events; and releasing the benchmark as an open standard for third-party models.</w:t>
      </w:r>
    </w:p>
    <w:p>
      <w:pPr>
        <w:spacing w:after="40" w:before="100"/>
      </w:pPr>
      <w:r>
        <w:rPr>
          <w:rFonts w:ascii="Palatino Linotype" w:cs="Palatino Linotype" w:eastAsia="Palatino Linotype" w:hAnsi="Palatino Linotype"/>
          <w:b/>
          <w:bCs/>
          <w:color w:val="1A1A1A"/>
          <w:sz w:val="18"/>
          <w:szCs w:val="18"/>
        </w:rPr>
        <w:t xml:space="preserve">Back matter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Data and code availability.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All data, engine code, validation scripts and artifacts are open in the project repository; every calibration target carries a primary source. Numbers reproduce via the Appendix B commands.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Author contributions.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[Complete per CRediT: conceptualization, methodology, software, validation, formal analysis, writing — original draft / review &amp; editing, visualization.]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Funding.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[This research received no external funding / state the grant.]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Institutional review.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Not applicable (no human or animal subjects; only aggregate open economic data).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Conflicts of interest.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The author(s) declare no conflict of interest.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References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1. Acemoglu, D.; Carvalho, V.M.; Ozdaglar, A.; Tahbaz-Salehi, A. The Network Origins of Aggregate Fluctuations.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Econometrica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2012, 80, 1977–2016. doi:10.3982/ECTA9623.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2. Acemoglu, D.; Ozdaglar, A.; Tahbaz-Salehi, A. Microeconomic Origins of Macroeconomic Tail Risks.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American Economic Review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2017, 107, 54–108. doi:10.1257/aer.20151086.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3. Baqaee, D.R. Cascading Failures in Production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Working Paper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2016.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4. Bigio, S.; La'O, J. Distortions in Production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Quarterly Journal of Economics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2020, 135, 2187–2253. doi:10.1093/qjecon/qjaa002.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5. Carvalho, V.M.; Nirei, M.; Saito, Y.U.; Tahbaz-Salehi, A. Supply Chain Disruptions: Evidence from the Great East Japan Earthquake.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Quarterly Journal of Economics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2021, 136, 1255–1321. doi:10.1093/qje/qjaa044.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6. Barrot, J.-N.; Sauvagnat, J. Input Specificity and the Propagation of Idiosyncratic Shocks in Production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Quarterly Journal of Economics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2016, 131, 1543–1592. doi:10.1093/qje/qjw018.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7. Boehm, C.E.; Flaaen, A.; Pandalai-Nayar, N. Input Linkages and the Transmission of Shocks: Firm-Level Evidence from the 2011 Tōhoku Earthquake.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Review of Economics and Statistics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2019, 101, 60–75. doi:10.1162/rest_a_00750.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8. Gabaix, X. The Granular Origins of Aggregate Fluctuations.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Econometrica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2011, 79, 733–772. doi:10.3982/ECTA8769.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9. di Giovanni, J.; Levchenko, A.A. Country Size, International Trade, and Aggregate Fluctuations in Granular Economies.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Journal of Political Economy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2012, 120, 1083–1132. doi:10.1086/669161.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10. Oberfield, E.; et al. Aggregate Fluctuations in Adaptive Production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PNAS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2022, 119, e2203730119. doi:10.1073/pnas.2203730119.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11. Inoue, H.; Todo, Y. Firm-Level Propagation of Shocks Through Supply-Chain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Nature Sustainability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2019, 2, 841–847. doi:10.1038/s41893-019-0357-z.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12. Otto, C.; Willner, S.N.; Wenz, L.; Frieler, K.; Levermann, A. Modeling Loss-Propagation in the Global Supply Network: The Dynamic Agent-Based Model Acclimate.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Journal of Economic Dynamics &amp; Control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2017, 83, 232–269. doi:10.1016/j.jedc.2017.08.001.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13. Allen, F.; Gale, D. Financial Contagion.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Journal of Political Economy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2000, 108, 1–33. doi:10.1086/262109.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14. Gai, P.; Kapadia, S. Contagion in Financial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Proceedings of the Royal Society A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2010, 466, 2401–2423. doi:10.1098/rspa.2009.0410.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15. Battiston, S.; Delli Gatti, D.; Gallegati, M.; Greenwald, B.; Stiglitz, J.E. Liaisons Dangereuses: Increasing Connectivity, Risk Sharing, and Systemic Risk.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Journal of Economic Dynamics &amp; Control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2012, 36, 1121–1141. doi:10.1016/j.jedc.2012.04.001.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16. Elliott, M.; Golub, B.; Jackson, M.O. Financial Networks and Contagion.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American Economic Review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2014, 104, 3115–3153. doi:10.1257/aer.104.10.3115.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17. Haldane, A.G.; May, R.M. Systemic Risk in Banking Ecosystems.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Nature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2011, 469, 351–355. doi:10.1038/nature09659.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18. Eichenbaum, M.S.; Rebelo, S.; Trabandt, M. The Macroeconomics of Epidemics.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Review of Financial Studies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2021, 34, 5149–5187. doi:10.1093/rfs/hhab040.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19. Coquidé, C.; Lages, J.; Shepelyansky, D.L. Crisis Contagion in the World Trade Network.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Applied Network Science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2020, 5, 67. doi:10.1007/s41109-020-00304-z.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20. Acemoglu, D.; Ozdaglar, A.; Tahbaz-Salehi, A. Systemic Risk and Stability in Financial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American Economic Review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2015, 105, 564–608. doi:10.1257/aer.20130456.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21. Starnini, M.; Boguñá, M.; Serrano, M.Á. Shock Propagation on Global Trade-Investment Multiplex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Scientific Reports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2019, 9, 13079. doi:10.1038/s41598-019-49173-2.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22. Hidalgo, C.A.; Hausmann, R. The Building Blocks of Economic Complexity.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PNAS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2009, 106, 10570–10575. doi:10.1073/pnas.0900943106.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23. Caliendo, L.; Parro, F.; Rossi-Hansberg, E.; Sarte, P.-D. The Impact of Regional and Sectoral Productivity Changes on the U.S. Economy.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Review of Economic Studies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2018, 85, 2042–2096. doi:10.1093/restud/rdx082.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24. Eaton, J.; Kortum, S. Technology, Geography, and Trade.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Econometrica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2002, 70, 1741–1779. doi:10.1111/1468-0262.00352.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25. OECD. Inter-Country Input-Output (ICIO) Tables, 2025 Edition (Year 2019); OECD: Paris, 2025.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26. International Monetary Fund. PortWatch: Daily Chokepoint Transit Data; IMF: Washington, DC, 2021–2024.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27. OICA; JAMA; VDA; SIA. Industry Motor-Vehicle and Semiconductor Production Statistics, 1999–2023.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Appendix A. Full event benchmark (N=27)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Generated from seed_data.py; per-event primary sources are line-by-line in historical_events.csv. “Magn.” is the source-side shock magnitude (model input), “Target” is the observed loss (validation output).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560"/>
        <w:gridCol w:w="3778"/>
        <w:gridCol w:w="2600"/>
        <w:gridCol w:w="900"/>
        <w:gridCol w:w="900"/>
        <w:gridCol w:w="900"/>
      </w:tblGrid>
      <w:tr>
        <w:trPr>
          <w:tblHeader/>
        </w:trPr>
        <w:tc>
          <w:tcPr>
            <w:tcW w:type="dxa" w:w="56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#</w:t>
            </w:r>
          </w:p>
        </w:tc>
        <w:tc>
          <w:tcPr>
            <w:tcW w:type="dxa" w:w="377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Event</w:t>
            </w:r>
          </w:p>
        </w:tc>
        <w:tc>
          <w:tcPr>
            <w:tcW w:type="dxa" w:w="2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Node</w:t>
            </w:r>
          </w:p>
        </w:tc>
        <w:tc>
          <w:tcPr>
            <w:tcW w:type="dxa" w:w="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Magn.</w:t>
            </w:r>
          </w:p>
        </w:tc>
        <w:tc>
          <w:tcPr>
            <w:tcW w:type="dxa" w:w="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Dur.</w:t>
            </w:r>
          </w:p>
        </w:tc>
        <w:tc>
          <w:tcPr>
            <w:tcW w:type="dxa" w:w="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Target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covid-semiconductor-2020-2021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TWN:semiconductors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0.115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suez-canal-2021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CP:Suez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0.90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0.008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auto-chip-shortage-2021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TWN:semiconductors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0.18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0.077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japan-triple-disaster-2011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JPN:automotive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0.40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0.039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5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us-china-tariffs-2019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CHN:electronics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52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0.020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texas-winter-storm-2021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0.15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7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eu-energy-crisis-2021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DEU:automotive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8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malaysia-semiconductor-2021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MYS:semiconductors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9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thailand-floods-2011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THA:automotive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0.65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0.025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kumamoto-earthquake-2016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JPN:semiconductors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0.20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0.006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11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renesas-naka-fire-2021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JPN:semiconductors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0.28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0.016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12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japan-korea-export-controls-2019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KOR:semiconductors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13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vietnam-covid-lockdown-2021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VNM:electronics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14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shanghai-lockdown-2022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CHN:automotive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0.45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0.018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15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ukraine-war-harness-2022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DEU:automotive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0.16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16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china-power-crunch-2021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CHN:electronics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17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yantian-port-closure-2021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CHN:shipping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0.006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18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us-west-coast-ports-2021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USA:shipping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0.008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19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red-sea-crisis-2023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CP:Suez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0.55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0.010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20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taiwan-drought-2021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TWN:semiconductors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21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india-covid-wave-2021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IND:automotive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0.35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0.004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22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taiwan-chichi-earthquake-1999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TWN:semiconductors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0.90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23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hurricane-harvey-2017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USA:consumer_goods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24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us-west-coast-ports-2015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USA:shipping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0.007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25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korea-trucker-strikes-2022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KOR:automotive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0.50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26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panama-canal-drought-2023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CP:Panama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27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gfc-auto-collapse-2008-2009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0.47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0.130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Appendix B. Reproducibility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All numbers in the paper regenerate from the repository:</w:t>
      </w:r>
    </w:p>
    <w:tbl>
      <w:tblPr>
        <w:tblW w:type="dxa" w:w="9638"/>
        <w:tblBorders>
          <w:top w:val="single" w:color="D7E2DB" w:sz="3"/>
          <w:left w:val="single" w:color="D7E2DB" w:sz="3"/>
          <w:bottom w:val="single" w:color="D7E2DB" w:sz="3"/>
          <w:right w:val="single" w:color="D7E2DB" w:sz="3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F2F2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cd backend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scripts.significance_analysis   # significance.json (6.1, 6.2)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scripts.power_analysis          # power_analysis.json (6.4)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scripts.isef_figures            # 4 figures + CSVs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scripts.results_onepager        # docs/RESULTS.md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-c 'from app.core.ablation import run_ablation_study,save_ablation;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save_ablation(run_ablation_study())'   # ablation (6.6)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-c 'from app.core.sensitivity import run_sobol,save_sobol;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save_sobol(run_sobol())'   # Sobol (6.7)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pytest --ignore=tests/test_portwatch.py   # 157 tests</w:t>
            </w:r>
          </w:p>
        </w:tc>
      </w:tr>
    </w:tbl>
    <w:sectPr>
      <w:type w:val="continuous"/>
      <w:pgSz w:w="11906" w:h="16838" w:orient="portrait"/>
      <w:pgMar w:top="1134" w:right="1134" w:bottom="1134" w:left="1134" w:header="708" w:footer="708" w:gutter="0"/>
      <w:pgNumType/>
      <w:cols w:space="454" w:num="2" w:equalWidth="tru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alatino Linotype" w:cs="Palatino Linotype" w:eastAsia="Palatino Linotype" w:hAnsi="Palatino Linotype"/>
        <w:color w:val="1A1A1A"/>
        <w:sz w:val="19"/>
        <w:szCs w:val="19"/>
      </w:rPr>
    </w:rPrDefault>
    <w:pPrDefault>
      <w:pPr>
        <w:spacing w:line="2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523aa1ade757e495c443f46889ee0a5b946639.png"/><Relationship Id="rId8" Type="http://schemas.openxmlformats.org/officeDocument/2006/relationships/image" Target="media/171df3e3575383b655b04a9426bb257c8bc24438.png"/><Relationship Id="rId9" Type="http://schemas.openxmlformats.org/officeDocument/2006/relationships/image" Target="media/d823a4fac61c80987e17c1332d8dc51dd27bbfc4.png"/><Relationship Id="rId10" Type="http://schemas.openxmlformats.org/officeDocument/2006/relationships/image" Target="media/b46fe7d0f644b4f60d88d0ddc3fd2f9a0a85fa0e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GEDS — three-axis validation (preprint)</dc:title>
  <dc:creator>GEDS</dc:creator>
  <cp:lastModifiedBy>Un-named</cp:lastModifiedBy>
  <cp:revision>1</cp:revision>
  <dcterms:created xsi:type="dcterms:W3CDTF">2026-07-28T18:23:32.731Z</dcterms:created>
  <dcterms:modified xsi:type="dcterms:W3CDTF">2026-07-28T18:23:32.731Z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