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Palatino Linotype" w:cs="Palatino Linotype" w:eastAsia="Palatino Linotype" w:hAnsi="Palatino Linotype"/>
          <w:b/>
          <w:bCs/>
          <w:color w:val="0E7C3A"/>
          <w:sz w:val="24"/>
          <w:szCs w:val="24"/>
        </w:rPr>
        <w:t xml:space="preserve">Article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b/>
          <w:bCs/>
          <w:color w:val="1A1A1A"/>
          <w:sz w:val="32"/>
          <w:szCs w:val="32"/>
        </w:rPr>
        <w:t xml:space="preserve">Can a Single Number Tell a Good Cascade Model from a Naive One? A Three-Axis Validation of a Global Supply-Chain Disruption Simulator on 27 Primary-Sourced Historical Events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Yerzat Mametayev</w:t>
      </w:r>
      <w:r>
        <w:rPr>
          <w:rFonts w:ascii="Palatino Linotype" w:cs="Palatino Linotype" w:eastAsia="Palatino Linotype" w:hAnsi="Palatino Linotype"/>
          <w:sz w:val="22"/>
          <w:szCs w:val="22"/>
          <w:vertAlign w:val="superscript"/>
        </w:rPr>
        <w:t xml:space="preserve"> 1,*</w:t>
      </w:r>
    </w:p>
    <w:p>
      <w:pPr>
        <w:spacing w:after="20"/>
      </w:pPr>
      <w:r>
        <w:rPr>
          <w:rFonts w:ascii="Palatino Linotype" w:cs="Palatino Linotype" w:eastAsia="Palatino Linotype" w:hAnsi="Palatino Linotype"/>
          <w:sz w:val="16"/>
          <w:szCs w:val="16"/>
          <w:vertAlign w:val="superscript"/>
        </w:rPr>
        <w:t xml:space="preserve">1</w:t>
      </w:r>
      <w:r>
        <w:rPr>
          <w:rFonts w:ascii="Palatino Linotype" w:cs="Palatino Linotype" w:eastAsia="Palatino Linotype" w:hAnsi="Palatino Linotype"/>
          <w:color w:val="595959"/>
          <w:sz w:val="16"/>
          <w:szCs w:val="16"/>
        </w:rPr>
        <w:t xml:space="preserve">  Nazarbayev Intellectual School of Physics and Mathematics in Semey, Semey, Kazakhstan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sz w:val="16"/>
          <w:szCs w:val="16"/>
          <w:vertAlign w:val="superscript"/>
        </w:rPr>
        <w:t xml:space="preserve">*</w:t>
      </w:r>
      <w:r>
        <w:rPr>
          <w:rFonts w:ascii="Palatino Linotype" w:cs="Palatino Linotype" w:eastAsia="Palatino Linotype" w:hAnsi="Palatino Linotype"/>
          <w:color w:val="595959"/>
          <w:sz w:val="16"/>
          <w:szCs w:val="16"/>
        </w:rPr>
        <w:t xml:space="preserve">  Correspondence: mametaeverzat014@gmail.com</w:t>
      </w:r>
    </w:p>
    <w:tbl>
      <w:tblPr>
        <w:tblW w:type="dxa" w:w="9638"/>
        <w:tblBorders>
          <w:top w:val="single" w:color="D7E2DB" w:sz="4"/>
          <w:left w:val="single" w:color="D7E2DB" w:sz="4"/>
          <w:bottom w:val="single" w:color="D7E2DB" w:sz="4"/>
          <w:right w:val="single" w:color="D7E2DB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2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Abstract: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Global supply-chain disruptions — earthquakes, floods, canal blockages, financial crises — cascade across industries and countries, yet published simulation models are typically validated on one or two events and a single error metric. This work asks whether such validation can distinguish a substantive model from a naive baseline at all, and builds the infrastructure to answer it. We assemble a benchmark of 27 historical events (1999–2023, ten categories), each calibrated from primary sources under a written source-tier protocol, and a three-axis validation system scoring (1) global loss magnitude, (2) node-level cascade shape (peak, timing, recovery), and (3) spatial reach. Four models are tested: a novel SEIRS-bullwhip-hysteresis simulator (GEDS), a Leontief input–output model, linear network diffusion, and a naive mean predictor. On point magnitude no model significantly outperforms any other (all six pairwise permutation tests p ≥ 0.09 at N=27), and the result survives leave-one-out per-fold recalibration (p = 0.89): single-number validation cannot separate these models. A power analysis shows that at N=27 the minimum detectable effect (0.018 MAE) exceeds the real inter-model differences (~0.007), so the parity is resolution-limited rather than proven. Trajectory validation does separate the models: GEDS, the only model producing full trajectories, ranks recovery durations at Spearman 0.88 (95% CI 0.56–0.99) and peak timing at 0.69 (0.20–0.87). Replacing the hand-built 12-country graph with the 405-node OECD ICIO graph raises spatial reach from 0.29 to 0.79 with no parameter tuning. All results are deterministic, locked by golden tests, and reproducible from an open repository.</w:t>
            </w:r>
          </w:p>
        </w:tc>
      </w:tr>
    </w:tbl>
    <w:p>
      <w:pPr>
        <w:spacing w:after="60" w:before="80"/>
        <w:jc w:val="both"/>
      </w:pPr>
      <w:r>
        <w:rPr>
          <w:rFonts w:ascii="Palatino Linotype" w:cs="Palatino Linotype" w:eastAsia="Palatino Linotype" w:hAnsi="Palatino Linotype"/>
          <w:b/>
          <w:bCs/>
          <w:sz w:val="18"/>
          <w:szCs w:val="18"/>
        </w:rPr>
        <w:t xml:space="preserve">Keywords: 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supply chains; shock propagation; model validation; SEIRS; bootstrap; permutation test; power analysis; OECD ICIO; cascade benchmark</w:t>
      </w:r>
    </w:p>
    <w:tbl>
      <w:tblPr>
        <w:tblW w:type="dxa" w:w="9638"/>
        <w:tblBorders>
          <w:top w:val="none" w:color="FFFFFF" w:sz="0"/>
          <w:left w:val="single" w:color="0E7C3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E7C3A"/>
                <w:sz w:val="17"/>
                <w:szCs w:val="17"/>
              </w:rPr>
              <w:t xml:space="preserve">Highlights</w:t>
            </w:r>
          </w:p>
          <w:p>
            <w:pPr>
              <w:spacing w:after="20" w:line="220"/>
              <w:ind w:left="200" w:hanging="160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•  Single-number validation cannot rank four supply-chain cascade models at N=27 (all pairwise p ≥ 0.09).</w:t>
            </w:r>
          </w:p>
          <w:p>
            <w:pPr>
              <w:spacing w:after="20" w:line="220"/>
              <w:ind w:left="200" w:hanging="160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•  The null is quantified, not assumed: minimum detectable effect 0.018 MAE vs. real gaps ~0.007; ~166 events needed to resolve.</w:t>
            </w:r>
          </w:p>
          <w:p>
            <w:pPr>
              <w:spacing w:after="20" w:line="220"/>
              <w:ind w:left="200" w:hanging="160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•  Trajectory validation separates the models: recovery-duration ranking Spearman 0.88 (95% CI 0.56–0.99).</w:t>
            </w:r>
          </w:p>
          <w:p>
            <w:pPr>
              <w:spacing w:after="20" w:line="220"/>
              <w:ind w:left="200" w:hanging="160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•  Grounding the graph in OECD ICIO data lifts spatial reach 0.29 → 0.79 with zero parameter tuning.</w:t>
            </w:r>
          </w:p>
        </w:tc>
      </w:tr>
    </w:tbl>
    <w:p>
      <w:pPr>
        <w:pBdr>
          <w:left w:val="single" w:color="0E7C3A" w:sz="18" w:space="10"/>
        </w:pBdr>
        <w:spacing w:after="100" w:before="40"/>
        <w:ind w:left="160"/>
      </w:pPr>
      <w:r>
        <w:rPr>
          <w:rFonts w:ascii="Palatino Linotype" w:cs="Palatino Linotype" w:eastAsia="Palatino Linotype" w:hAnsi="Palatino Linotype"/>
          <w:color w:val="595959"/>
          <w:sz w:val="15"/>
          <w:szCs w:val="15"/>
        </w:rPr>
        <w:t xml:space="preserve">Type: working preprint (ISEF project).  </w:t>
      </w:r>
      <w:r>
        <w:rPr>
          <w:rFonts w:ascii="Palatino Linotype" w:cs="Palatino Linotype" w:eastAsia="Palatino Linotype" w:hAnsi="Palatino Linotype"/>
          <w:color w:val="595959"/>
          <w:sz w:val="15"/>
          <w:szCs w:val="15"/>
        </w:rPr>
        <w:t xml:space="preserve">Received / Accepted / Published: —.  </w:t>
      </w:r>
      <w:r>
        <w:rPr>
          <w:rFonts w:ascii="Palatino Linotype" w:cs="Palatino Linotype" w:eastAsia="Palatino Linotype" w:hAnsi="Palatino Linotype"/>
          <w:color w:val="595959"/>
          <w:sz w:val="15"/>
          <w:szCs w:val="15"/>
        </w:rPr>
        <w:t xml:space="preserve">Copyright: © 2026 the author(s). CC BY 4.0.  </w:t>
      </w:r>
      <w:r>
        <w:rPr>
          <w:rFonts w:ascii="Palatino Linotype" w:cs="Palatino Linotype" w:eastAsia="Palatino Linotype" w:hAnsi="Palatino Linotype"/>
          <w:color w:val="595959"/>
          <w:sz w:val="15"/>
          <w:szCs w:val="15"/>
        </w:rPr>
        <w:t xml:space="preserve">All numbers are generated from repository artifacts and reproducible under fixed seeds.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1. Introduction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1.1. Motivation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The 2021 blockage of the Suez Canal by the container ship Ever Given halted roughly 12% of world trade for six days; the 2011 Thai floods cut national vehicle output by 87.5% at their monthly peak; the 2020–2021 chip shortage cost the global auto industry 9.5 million unbuilt vehicles. Policymakers and firms need models that predict how a local shock will propagate across the global production network. The literature offers dozens of such models — yet almost every one is validated on one or two events, most often against a single scalar.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This work began as building yet another model. It ended with a different conclusion: the standard way of validating such models cannot tell a complex model from a naive one, and so a validation instrument that can was built instead.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1.2. Research question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Can single-number validation (peak loss magnitude) distinguish a substantive shock-propagation model from trivial baselines — and if not, which validation axes do separate the models?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1.3. Contributions</w:t>
      </w:r>
    </w:p>
    <w:p>
      <w:pPr>
        <w:spacing w:after="20" w:line="24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1.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Benchmark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27 historical disruption events (1999–2023) with calibration targets from primary sources under a written source-tier protocol, plus a library of 17+ documented near-misses as a negative control.</w:t>
      </w:r>
    </w:p>
    <w:p>
      <w:pPr>
        <w:spacing w:after="20" w:line="24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2.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Three-axis validation system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global magnitude (Track A), shocked-node trajectory shape (Track B), spatial reach and onset order.</w:t>
      </w:r>
    </w:p>
    <w:p>
      <w:pPr>
        <w:spacing w:after="20" w:line="24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3.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Statistical layer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event-level bootstrap, paired bootstrap with shared indices, sign-flip permutation tests, and a power analysis — every “better/worse” comes with a confidence interval and a p-value.</w:t>
      </w:r>
    </w:p>
    <w:p>
      <w:pPr>
        <w:spacing w:after="20" w:line="24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4.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An honest headline result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magnitude parity of all four models at N=27 (in- and out-of-sample, and this is a power limit, not equivalence) and significant separation on the trajectory axes, where only GEDS competes.</w:t>
      </w:r>
    </w:p>
    <w:p>
      <w:pPr>
        <w:spacing w:after="20" w:line="24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5.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A mechanistic finding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peak timing was at chance because the engine lacked a rising forcing shape; the defect was localized and the fix adopted through a pre-registered gated experiment.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2. Related Work and Positioning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The work sits at the intersection of four literatures; full references are in the References section.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Shock propagation in production networks.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The theoretical foundation was laid by Acemoglu et al. [1] on the network origins of aggregate fluctuations, with continuations on micro-origins and distortions (Acemoglu et al. [2]; Baqaee [3]; Bigio &amp; La'O [4]). The empirical side was established by Carvalho et al. [5], who traced the Tōhoku earthquake cascade through real supplier chains, Barrot &amp; Sauvagnat [6] via input specificity, and Boehm et al. [7]. Granularity as a source of aggregate fluctuations: Gabaix [8], di Giovanni &amp; Levchenko [9], Oberfield et al. [10]. Our work adds no theory here — it uses this structure as a substrate and asks how well dynamic models on it predict real cascades.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Simulation and agent-based models.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Inoue &amp; Todo [11] built a firm-level agent-based model of supply-chain propagation; Otto et al. [12] (Acclimate) model climate shocks on international trade. These are typically validated on a single event class; our contribution is orthogonal — a comparative-validation system in which such models can be placed side by side on a common benchmark.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Financial contagion.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Network propagation is well studied in finance: Allen &amp; Gale [13], Gai &amp; Kapadia [14], Battiston et al. [15], Elliott et al. [16], Haldane &amp; May [17], Acemoglu et al. [20]. We borrow the threshold-cascade idea (a node enters “distress” when losses exceed an endogenous threshold) but apply it to production output.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Epidemic dynamics and forecast validation.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Transferring SEIR schemes to economics accelerated after COVID (Eichenbaum et al. [18]; Coquidé et al. [19]; Starnini et al. [21]). A separate relevant thread is comparative-validation methodology — forecasting competitions and temporal-graph benchmarks have repeatedly found simple methods indistinguishable from complex ones; our result reproduces this pattern in a new domain.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Niche.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To the best of our knowledge, no published work combines SEIRS dynamics, the bullwhip effect and hysteresis in one engine and, more importantly, validates a cascade model simultaneously on magnitude, trajectory shape and spatial reach across dozens of heterogeneous events with a full statistical layer. The gap this work closes is not “yet another model” but “how to compare such models honestly.”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3. Data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3.1. Event benchmark (N=27)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Each event specifies: the shocked node (country:industry or chokepoint), source-side shock magnitude, duration, forcing shape, horizon; and an observed target — the global/industry output loss from a primary source. The full list is Appendix A. Categories: earthquakes, floods, fires, lockdowns, energy crises, port congestion, chokepoint blockages, trade controls, strikes, financial crisis.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Source-tier protocol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(written): tier 1 — industry statistical agencies (OICA, JAMA, VDA, SIA) and official macro data (central banks, IMF, IMF PortWatch [26]); tier 2 — company filings; tier 3 (Reuters/Bloomberg/Nikkei) only when quoting tier 1/2. Rules: peak is distinguished from residual; derived numbers are tagged [DERIVED]; the node is assigned by where production occurred.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Negative control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events without a clean primary number (Philips 2000 fire) or with structural graph gaps (Boeing 737 MAX) are documented as not-wired with the reason, not fitted. The base contains 17+ near-misses — events with little actual cascade: the model is penalized for false positives.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3.2. Trajectory targets and graph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For Track B we collect: peak output loss of the shocked sector in the source country (measured targets only, status “null” with a reason where no source exists); weeks-to-peak and weeks-to-90%-recovery; 62 rows of “event → affected node → onset week” each primary-sourced. Graph v2: 41 nodes (12 countries × 6 industries + 5 chokepoints), weights cross-checked against OECD ICIO [25] (Spearman 0.79–0.84). Graph v3: 405 nodes (81 economies × 5 sectors) directly from the ICIO 2019 tables.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4. Models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GEDS (SEIRS-Bullwhip-Hysteresis)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— the proposed engine: each node moves through Susceptible → Exposed (an inventory buffer absorbs incoming shortfall) → Infected (output loss with nonlinear amplification) → Recovered (hysteresis).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Baselines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(zero fitted parameters): a Leontief input–output model, linear network diffusion, a naive mean predictor. The configuration is deterministic (stochastic_sigma = 0, seed = 0) and pinned by a golden test.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4.1. Formal engine specification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Let s_i(t) ∈ [0, 1] be the shock level of node i in week t and D_eff the effective-dependency matrix. The per-step update (vectorized over nodes). Incoming pressure with the bullwhip effect, where β_i = bullwhip factor (1.25 in state E):</w:t>
      </w:r>
    </w:p>
    <w:p>
      <w:pPr>
        <w:spacing w:after="40" w:before="40"/>
        <w:jc w:val="center"/>
      </w:pPr>
      <w:r>
        <w:rPr>
          <w:rFonts w:ascii="Palatino Linotype" w:cs="Palatino Linotype" w:eastAsia="Palatino Linotype" w:hAnsi="Palatino Linotype"/>
          <w:sz w:val="18"/>
          <w:szCs w:val="18"/>
        </w:rPr>
        <w:t xml:space="preserve">in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= </w:t>
      </w:r>
      <w:r>
        <w:rPr>
          <w:rFonts w:ascii="Palatino Linotype" w:cs="Palatino Linotype" w:eastAsia="Palatino Linotype" w:hAnsi="Palatino Linotype"/>
          <w:i/>
          <w:iCs/>
          <w:sz w:val="18"/>
          <w:szCs w:val="18"/>
        </w:rPr>
        <w:t xml:space="preserve">β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· Σ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j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D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eff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[i,j] · s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j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   (1)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Impact impulse (δ — propagation decay, V — vulnerability, A — nonlinear amplification, ρ — resilience, the (1−s) factor giving saturation):</w:t>
      </w:r>
    </w:p>
    <w:p>
      <w:pPr>
        <w:spacing w:after="40" w:before="40"/>
        <w:jc w:val="center"/>
      </w:pPr>
      <w:r>
        <w:rPr>
          <w:rFonts w:ascii="Palatino Linotype" w:cs="Palatino Linotype" w:eastAsia="Palatino Linotype" w:hAnsi="Palatino Linotype"/>
          <w:sz w:val="18"/>
          <w:szCs w:val="18"/>
        </w:rPr>
        <w:t xml:space="preserve">Δ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= </w:t>
      </w:r>
      <w:r>
        <w:rPr>
          <w:rFonts w:ascii="Palatino Linotype" w:cs="Palatino Linotype" w:eastAsia="Palatino Linotype" w:hAnsi="Palatino Linotype"/>
          <w:i/>
          <w:iCs/>
          <w:sz w:val="18"/>
          <w:szCs w:val="18"/>
        </w:rPr>
        <w:t xml:space="preserve">δ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· in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· V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· A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· (1−</w:t>
      </w:r>
      <w:r>
        <w:rPr>
          <w:rFonts w:ascii="Palatino Linotype" w:cs="Palatino Linotype" w:eastAsia="Palatino Linotype" w:hAnsi="Palatino Linotype"/>
          <w:i/>
          <w:iCs/>
          <w:sz w:val="18"/>
          <w:szCs w:val="18"/>
        </w:rPr>
        <w:t xml:space="preserve">ρ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) · (1−s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(t))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   (2)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Weekly recovery rate tied to the node delay delay_i (8 weeks reference):</w:t>
      </w:r>
    </w:p>
    <w:p>
      <w:pPr>
        <w:spacing w:after="40" w:before="40"/>
        <w:jc w:val="center"/>
      </w:pPr>
      <w:r>
        <w:rPr>
          <w:rFonts w:ascii="Palatino Linotype" w:cs="Palatino Linotype" w:eastAsia="Palatino Linotype" w:hAnsi="Palatino Linotype"/>
          <w:i/>
          <w:iCs/>
          <w:sz w:val="18"/>
          <w:szCs w:val="18"/>
        </w:rPr>
        <w:t xml:space="preserve">γ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= clip( recovery_rate · (8 / max(delay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, 0.5)), 0, 0.95 )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   (3)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State transition, where x_i is the event's external forcing (shape step/linear/exp/ramp), r_i = γ_i·s_i for unforced nodes, ε — noise (ε ≡ 0 in the benchmark):</w:t>
      </w:r>
    </w:p>
    <w:p>
      <w:pPr>
        <w:spacing w:after="40" w:before="40"/>
        <w:jc w:val="center"/>
      </w:pPr>
      <w:r>
        <w:rPr>
          <w:rFonts w:ascii="Palatino Linotype" w:cs="Palatino Linotype" w:eastAsia="Palatino Linotype" w:hAnsi="Palatino Linotype"/>
          <w:sz w:val="18"/>
          <w:szCs w:val="18"/>
        </w:rPr>
        <w:t xml:space="preserve">s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(t+1) = clip( max( x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(t+1), s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+ Δ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− r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+ </w:t>
      </w:r>
      <w:r>
        <w:rPr>
          <w:rFonts w:ascii="Palatino Linotype" w:cs="Palatino Linotype" w:eastAsia="Palatino Linotype" w:hAnsi="Palatino Linotype"/>
          <w:i/>
          <w:iCs/>
          <w:sz w:val="18"/>
          <w:szCs w:val="18"/>
        </w:rPr>
        <w:t xml:space="preserve">ε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), 0, 1 )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   (4)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Observed node output loss (η — elasticity, f_i — the R-state hysteresis floor, ≥ 0.30 while recovering):</w:t>
      </w:r>
    </w:p>
    <w:p>
      <w:pPr>
        <w:spacing w:after="40" w:before="40"/>
        <w:jc w:val="center"/>
      </w:pPr>
      <w:r>
        <w:rPr>
          <w:rFonts w:ascii="Palatino Linotype" w:cs="Palatino Linotype" w:eastAsia="Palatino Linotype" w:hAnsi="Palatino Linotype"/>
          <w:sz w:val="18"/>
          <w:szCs w:val="18"/>
        </w:rPr>
        <w:t xml:space="preserve">L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= max( s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· </w:t>
      </w:r>
      <w:r>
        <w:rPr>
          <w:rFonts w:ascii="Palatino Linotype" w:cs="Palatino Linotype" w:eastAsia="Palatino Linotype" w:hAnsi="Palatino Linotype"/>
          <w:i/>
          <w:iCs/>
          <w:sz w:val="18"/>
          <w:szCs w:val="18"/>
        </w:rPr>
        <w:t xml:space="preserve">η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· (1−</w:t>
      </w:r>
      <w:r>
        <w:rPr>
          <w:rFonts w:ascii="Palatino Linotype" w:cs="Palatino Linotype" w:eastAsia="Palatino Linotype" w:hAnsi="Palatino Linotype"/>
          <w:i/>
          <w:iCs/>
          <w:sz w:val="18"/>
          <w:szCs w:val="18"/>
        </w:rPr>
        <w:t xml:space="preserve">ρ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), f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)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   (5)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Scalar cascade-severity index (c_i — node centrality, d_i — input exposure):</w:t>
      </w:r>
    </w:p>
    <w:p>
      <w:pPr>
        <w:spacing w:after="40" w:before="40"/>
        <w:jc w:val="center"/>
      </w:pPr>
      <w:r>
        <w:rPr>
          <w:rFonts w:ascii="Palatino Linotype" w:cs="Palatino Linotype" w:eastAsia="Palatino Linotype" w:hAnsi="Palatino Linotype"/>
          <w:sz w:val="18"/>
          <w:szCs w:val="18"/>
        </w:rPr>
        <w:t xml:space="preserve">CSI(t) = (1/N) · Σ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s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· c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· d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   (6)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SEIRS states.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A node moves S→E when incoming pressure crosses a trigger (an inventory buffer of depth inventory_scale absorbs the shortfall), E→I, I→R as the shock recedes; in R it holds for delay_i weeks with output floor f_i, then returns to S — this is the hysteresis.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Five calibrated parameters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θ = (amplification_mu, bullwhip_factor, recovery_rate, inventory_scale, distress_base); all other quantities are structural or fixed. Baselines formally: Leontief solves an (I−A)^{-1}-type loss equilibrium; linear diffusion iterates s(t+1)=s(t)+δ·(W·s(t)) with no saturation or recovery; the naive predictor returns the sample mean.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5. Validation Methods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5.1. Three axes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Track A (magnitude)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predicted vs. observed global/industry loss, N=27; MAE, RMSE, Spearman.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Track B (shape)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the shocked node's own trajectory: peak magnitude (n=5), weeks-to-peak (n=15), weeks-to-90%-recovery (n=11).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Spatial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the share of historically-hit nodes the cascade reaches (recall), and the rank correlation of onset order.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5.2. Statistical layer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At N=27 the question “is the difference significant?” comes first. All procedures are deterministic (seed 20260718) and resample whole events.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Bootstrap CIs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per metric: 10,000 resamples, percentile 95% intervals.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Paired bootstrap of differences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shared resample indices for both models.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Sign-flip permutation test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for a pair (A, B) with per-event absolute errors e_A, e_B: statistic T = |mean(|e_A|−|e_B|)|; under H0 each difference's sign is flipped independently (20,000 permutations); two-sided p:</w:t>
      </w:r>
    </w:p>
    <w:p>
      <w:pPr>
        <w:spacing w:after="40" w:before="40"/>
        <w:jc w:val="center"/>
      </w:pPr>
      <w:r>
        <w:rPr>
          <w:rFonts w:ascii="Palatino Linotype" w:cs="Palatino Linotype" w:eastAsia="Palatino Linotype" w:hAnsi="Palatino Linotype"/>
          <w:sz w:val="18"/>
          <w:szCs w:val="18"/>
        </w:rPr>
        <w:t xml:space="preserve">p = (1 + #{ T* ≥ T }) / (20000 + 1)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   (7)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Power analysis / minimum detectable effect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for paired differences d_i, the smallest mean MAE difference detectable at 80% power and α=0.05, and the N required for the observed difference:</w:t>
      </w:r>
    </w:p>
    <w:p>
      <w:pPr>
        <w:spacing w:after="40" w:before="40"/>
        <w:jc w:val="center"/>
      </w:pPr>
      <w:r>
        <w:rPr>
          <w:rFonts w:ascii="Palatino Linotype" w:cs="Palatino Linotype" w:eastAsia="Palatino Linotype" w:hAnsi="Palatino Linotype"/>
          <w:sz w:val="18"/>
          <w:szCs w:val="18"/>
        </w:rPr>
        <w:t xml:space="preserve">MDE = (z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0.975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+ z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0.80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) · sd(d) / √N ,   N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req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= ( 2.80 · sd(d) / |mean(d)| )</w:t>
      </w:r>
      <w:r>
        <w:rPr>
          <w:rFonts w:ascii="Palatino Linotype" w:cs="Palatino Linotype" w:eastAsia="Palatino Linotype" w:hAnsi="Palatino Linotype"/>
          <w:sz w:val="18"/>
          <w:szCs w:val="18"/>
          <w:vertAlign w:val="superscript"/>
        </w:rPr>
        <w:t xml:space="preserve">2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   (8)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Out-of-sample check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leave-one-out cross-validation with per-fold differential-evolution recalibration of the five parameters — the held-out event never influences its own parameters; the baselines have no parameters.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5.3. Pre-registration of mechanism changes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Every engine change passes a pre-declared gate. Negative outcomes are preserved in the project record: inventory absorption, per-node recovery, hysteresis-floor removal — all three improved in-sample metrics and were rejected by the out-of-sample gate. The adopted change (ramp, §6.3) passed the same protocol.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6. Results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6.1. Track A: magnitude parity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The four models at default parameters are in Table 1. Point estimates suggest a hierarchy, but none of the six pairwise MAE differences is significant (Figure 1): GEDS−Leontief ΔMAE +0.0074 [−0.0031; +0.0218], p=0.42; Leontief−naive −0.0040 [−0.0083; +0.0005], p=0.09; the rest p=0.21–0.97.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At N=27 single-number validation does not rank these models.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The only significant Track-A signals are rank-based: linear diffusion (0.72 [0.40; 0.91]) and GEDS (0.45 [0.06; 0.73]).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space="454" w:num="2" w:equalWidth="true"/>
          <w:docGrid w:linePitch="360"/>
        </w:sectPr>
      </w:pPr>
    </w:p>
    <w:p>
      <w:pPr>
        <w:spacing w:after="40" w:before="60"/>
        <w:jc w:val="left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Table 1.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Four models at default parameters; MAE / RMSE / Spearman with 95% bootstrap CIs (N=27).</w:t>
      </w:r>
    </w:p>
    <w:tbl>
      <w:tblPr>
        <w:tblW w:type="dxa" w:w="9638"/>
        <w:tblBorders>
          <w:top w:val="single" w:color="1A1A1A" w:sz="12"/>
          <w:left w:val="none" w:color="FFFFFF" w:sz="0"/>
          <w:bottom w:val="single" w:color="1A1A1A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2079"/>
        <w:gridCol w:w="2079"/>
        <w:gridCol w:w="2080"/>
      </w:tblGrid>
      <w:tr>
        <w:trPr>
          <w:tblHeader/>
        </w:trPr>
        <w:tc>
          <w:tcPr>
            <w:tcW w:type="dxa" w:w="34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2079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MAE [95% CI]</w:t>
            </w:r>
          </w:p>
        </w:tc>
        <w:tc>
          <w:tcPr>
            <w:tcW w:type="dxa" w:w="2079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RMSE [95% CI]</w:t>
            </w:r>
          </w:p>
        </w:tc>
        <w:tc>
          <w:tcPr>
            <w:tcW w:type="dxa" w:w="208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Spearman [95% CI]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GEDS (SEIRS-b.-h.)</w:t>
            </w:r>
          </w:p>
        </w:tc>
        <w:tc>
          <w:tcPr>
            <w:tcW w:type="dxa" w:w="2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0.0242 [0.011; 0.040]</w:t>
            </w:r>
          </w:p>
        </w:tc>
        <w:tc>
          <w:tcPr>
            <w:tcW w:type="dxa" w:w="2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0.0464 [0.021; 0.067]</w:t>
            </w:r>
          </w:p>
        </w:tc>
        <w:tc>
          <w:tcPr>
            <w:tcW w:type="dxa" w:w="2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0.45 [0.06; 0.73]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Leontief</w:t>
            </w:r>
          </w:p>
        </w:tc>
        <w:tc>
          <w:tcPr>
            <w:tcW w:type="dxa" w:w="2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0.0168 [0.008; 0.028]</w:t>
            </w:r>
          </w:p>
        </w:tc>
        <w:tc>
          <w:tcPr>
            <w:tcW w:type="dxa" w:w="2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0.0313 [0.011; 0.046]</w:t>
            </w:r>
          </w:p>
        </w:tc>
        <w:tc>
          <w:tcPr>
            <w:tcW w:type="dxa" w:w="2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0.34 [−0.10; 0.67]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Linear diffusion</w:t>
            </w:r>
          </w:p>
        </w:tc>
        <w:tc>
          <w:tcPr>
            <w:tcW w:type="dxa" w:w="2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0.0171 [0.009; 0.029]</w:t>
            </w:r>
          </w:p>
        </w:tc>
        <w:tc>
          <w:tcPr>
            <w:tcW w:type="dxa" w:w="2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0.0317 [0.012; 0.049]</w:t>
            </w:r>
          </w:p>
        </w:tc>
        <w:tc>
          <w:tcPr>
            <w:tcW w:type="dxa" w:w="2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0.72 [0.40; 0.91]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Naive mean</w:t>
            </w:r>
          </w:p>
        </w:tc>
        <w:tc>
          <w:tcPr>
            <w:tcW w:type="dxa" w:w="2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0.0208 [0.013; 0.031]</w:t>
            </w:r>
          </w:p>
        </w:tc>
        <w:tc>
          <w:tcPr>
            <w:tcW w:type="dxa" w:w="2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0.0324 [0.014; 0.047]</w:t>
            </w:r>
          </w:p>
        </w:tc>
        <w:tc>
          <w:tcPr>
            <w:tcW w:type="dxa" w:w="2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— (constant)</w:t>
            </w:r>
          </w:p>
        </w:tc>
      </w:tr>
    </w:tbl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spacing w:after="30" w:before="60"/>
        <w:jc w:val="center"/>
      </w:pPr>
      <w:r>
        <w:drawing>
          <wp:inline distT="0" distB="0" distL="0" distR="0">
            <wp:extent cx="5143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Figure 1.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Pairwise MAE differences (first minus second) with 95% paired-bootstrap CIs and two-sided permutation p. All six pairs cross zero.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spacing w:after="30" w:before="60"/>
        <w:jc w:val="center"/>
      </w:pPr>
      <w:r>
        <w:drawing>
          <wp:inline distT="0" distB="0" distL="0" distR="0">
            <wp:extent cx="51435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Figure 2.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Predicted vs. observed per model, N=27; the dashed line is perfect agreement.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6.2. Track B: the trajectory axes separate the models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Neither Leontief nor the naive mean produces trajectories; linear diffusion gives a curve with no recovery. Only GEDS produces the full “peak → decay → recovery” shape — and on these axes the result is significant (Table 2). Recovery-duration ranking (0.88) is the strongest result; both timing CIs exclude zero. The magnitude axis at n=5 is statistically empty and is stated only as a limitation.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space="454" w:num="2" w:equalWidth="true"/>
          <w:docGrid w:linePitch="360"/>
        </w:sectPr>
      </w:pPr>
    </w:p>
    <w:p>
      <w:pPr>
        <w:spacing w:after="40" w:before="60"/>
        <w:jc w:val="left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Table 2.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Track B: node-level trajectory-shape axes (the only axes that only GEDS produces).</w:t>
      </w:r>
    </w:p>
    <w:tbl>
      <w:tblPr>
        <w:tblW w:type="dxa" w:w="9638"/>
        <w:tblBorders>
          <w:top w:val="single" w:color="1A1A1A" w:sz="12"/>
          <w:left w:val="none" w:color="FFFFFF" w:sz="0"/>
          <w:bottom w:val="single" w:color="1A1A1A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900"/>
        <w:gridCol w:w="3138"/>
        <w:gridCol w:w="2000"/>
      </w:tblGrid>
      <w:tr>
        <w:trPr>
          <w:tblHeader/>
        </w:trPr>
        <w:tc>
          <w:tcPr>
            <w:tcW w:type="dxa" w:w="36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Axis</w:t>
            </w:r>
          </w:p>
        </w:tc>
        <w:tc>
          <w:tcPr>
            <w:tcW w:type="dxa" w:w="9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n</w:t>
            </w:r>
          </w:p>
        </w:tc>
        <w:tc>
          <w:tcPr>
            <w:tcW w:type="dxa" w:w="3138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Spearman [95% CI]</w:t>
            </w:r>
          </w:p>
        </w:tc>
        <w:tc>
          <w:tcPr>
            <w:tcW w:type="dxa" w:w="20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MAE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Node peak magnitude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5</w:t>
            </w:r>
          </w:p>
        </w:tc>
        <w:tc>
          <w:tcPr>
            <w:tcW w:type="dxa" w:w="31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0.60 [−1.00; 1.00] — not claimed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0.43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Weeks to peak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15</w:t>
            </w:r>
          </w:p>
        </w:tc>
        <w:tc>
          <w:tcPr>
            <w:tcW w:type="dxa" w:w="31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0.69 [0.20; 0.87]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7.1 wk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Weeks to 90% recovery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11</w:t>
            </w:r>
          </w:p>
        </w:tc>
        <w:tc>
          <w:tcPr>
            <w:tcW w:type="dxa" w:w="31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0.88 [0.56; 0.99]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8.5 wk</w:t>
            </w:r>
          </w:p>
        </w:tc>
      </w:tr>
    </w:tbl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Robustness to single points (jackknife).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A leave-one-out test (drop each event and recompute Spearman) refutes the concern that a correlation rests on one point: for weeks-to-peak the full estimate is 0.691, LOO range [0.619; 0.790]; for recovery the full estimate is 0.883, LOO range [0.843; 0.917]. No single event drops the correlation below 0.62 and 0.84 respectively.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6.3. Mechanistic finding: why timing was at chance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Before this work weeks-to-peak scored Spearman 0.07 [−0.43; +0.53] — chance level. Forensics localized the cause: all three implemented forcing shapes (step, linear, exp) peak at onset, and the ratchet state update renders a declining forcing as a rectangular pulse — 12 of 15 predicted peaks fell on week 0. The engine lacked a “slowly rising shock” shape, which droughts, congestion and demand collapses require.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The fix: a ramp shape (linear rise) was added and four events were moved to it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by real-world mechanism, declared before running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. The pre-registered four-criterion gate passed: weeks-to-peak Spearman 0.07 → 0.69; other axes drop 0.00; benchmark cost +0.0001 MAE; untouched events bit-identical (Figure 3).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space="454" w:num="2" w:equalWidth="true"/>
          <w:docGrid w:linePitch="360"/>
        </w:sectPr>
      </w:pPr>
    </w:p>
    <w:p>
      <w:pPr>
        <w:spacing w:after="30" w:before="60"/>
        <w:jc w:val="center"/>
      </w:pPr>
      <w:r>
        <w:drawing>
          <wp:inline distT="0" distB="0" distL="0" distR="0">
            <wp:extent cx="5143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Figure 3.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Weeks to peak: predicted vs. observed before (open) and after (filled) adopting the ramp shape; Spearman 0.07 → 0.69.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6.4. Out-of-sample check and power analysis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27-fold LOO with per-fold DE recalibration: MAE 0.0192, RMSE 0.0422, Pearson 0.25, Spearman 0.56, R² −0.70. Paired vs. Leontief: ΔMAE +0.0024 [−0.0073; +0.0167], p=0.89 — parity holds out-of-sample too. Two systematic misses are stated honestly: Chi-Chi 1999 (0.19 vs. 0.005 — the source node does not heal within the horizon) and the 2008–09 crisis (0.051 vs. 0.130 — a demand collapse is structurally unlike the supply cascades the engine models).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Parity is a power limit, not a proven equivalence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(Table 3). At N=27 the minimum detectable effect for GEDS/Leontief is 0.0184, whereas the observed differences ~0.004–0.007 lie below resolution. Resolving the observed difference would require ≈166 events. This turns the null into a bounded, actionable statement and a target for the dataset.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space="454" w:num="2" w:equalWidth="true"/>
          <w:docGrid w:linePitch="360"/>
        </w:sectPr>
      </w:pPr>
    </w:p>
    <w:p>
      <w:pPr>
        <w:spacing w:after="40" w:before="60"/>
        <w:jc w:val="left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Table 3.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Power analysis: minimum detectable effect at N=27 and the N required for the observed difference.</w:t>
      </w:r>
    </w:p>
    <w:tbl>
      <w:tblPr>
        <w:tblW w:type="dxa" w:w="9638"/>
        <w:tblBorders>
          <w:top w:val="single" w:color="1A1A1A" w:sz="12"/>
          <w:left w:val="none" w:color="FFFFFF" w:sz="0"/>
          <w:bottom w:val="single" w:color="1A1A1A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4238"/>
        <w:gridCol w:w="1800"/>
        <w:gridCol w:w="1800"/>
        <w:gridCol w:w="1800"/>
      </w:tblGrid>
      <w:tr>
        <w:trPr>
          <w:tblHeader/>
        </w:trPr>
        <w:tc>
          <w:tcPr>
            <w:tcW w:type="dxa" w:w="4238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Pair</w:t>
            </w:r>
          </w:p>
        </w:tc>
        <w:tc>
          <w:tcPr>
            <w:tcW w:type="dxa" w:w="18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obs. ΔMAE</w:t>
            </w:r>
          </w:p>
        </w:tc>
        <w:tc>
          <w:tcPr>
            <w:tcW w:type="dxa" w:w="18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MDE at N=27</w:t>
            </w:r>
          </w:p>
        </w:tc>
        <w:tc>
          <w:tcPr>
            <w:tcW w:type="dxa" w:w="18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N to detect</w:t>
            </w:r>
          </w:p>
        </w:tc>
      </w:tr>
      <w:tr>
        <w:trPr>
          <w:tblHeader w:val="false"/>
        </w:trPr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GEDS vs Leontief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+0.0074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0.0184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≈166</w:t>
            </w:r>
          </w:p>
        </w:tc>
      </w:tr>
      <w:tr>
        <w:trPr>
          <w:tblHeader w:val="false"/>
        </w:trPr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GEDS vs linear diffusion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+0.0071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0.0149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≈119</w:t>
            </w:r>
          </w:p>
        </w:tc>
      </w:tr>
      <w:tr>
        <w:trPr>
          <w:tblHeader w:val="false"/>
        </w:trPr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Leontief vs naive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−0.0040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0.0064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≈69</w:t>
            </w:r>
          </w:p>
        </w:tc>
      </w:tr>
    </w:tbl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6.5. Spatial: network completeness, not tuning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Same engine, same shocks — only the graph changes (Table 4). The dense graph closes exactly the gaps the hand-built one could not express (the Renesas-fire cascade into foreign automotive: 0/4 → 3/4). Onset order on reached nodes ranks well (Spearman 0.79). No parameter changed: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the binding constraint is network completeness, not the fineness of the dynamics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(Figure 4).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space="454" w:num="2" w:equalWidth="true"/>
          <w:docGrid w:linePitch="360"/>
        </w:sectPr>
      </w:pPr>
    </w:p>
    <w:p>
      <w:pPr>
        <w:spacing w:after="40" w:before="60"/>
        <w:jc w:val="left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Table 4.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Cascade spatial reach: hand-built graph v2 vs. the ICIO graph v3.</w:t>
      </w:r>
    </w:p>
    <w:tbl>
      <w:tblPr>
        <w:tblW w:type="dxa" w:w="9638"/>
        <w:tblBorders>
          <w:top w:val="single" w:color="1A1A1A" w:sz="12"/>
          <w:left w:val="none" w:color="FFFFFF" w:sz="0"/>
          <w:bottom w:val="single" w:color="1A1A1A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3838"/>
        <w:gridCol w:w="2000"/>
        <w:gridCol w:w="3800"/>
      </w:tblGrid>
      <w:tr>
        <w:trPr>
          <w:tblHeader/>
        </w:trPr>
        <w:tc>
          <w:tcPr>
            <w:tcW w:type="dxa" w:w="3838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Graph</w:t>
            </w:r>
          </w:p>
        </w:tc>
        <w:tc>
          <w:tcPr>
            <w:tcW w:type="dxa" w:w="20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Nodes</w:t>
            </w:r>
          </w:p>
        </w:tc>
        <w:tc>
          <w:tcPr>
            <w:tcW w:type="dxa" w:w="38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Spatial recall</w:t>
            </w:r>
          </w:p>
        </w:tc>
      </w:tr>
      <w:tr>
        <w:trPr>
          <w:tblHeader w:val="false"/>
        </w:trPr>
        <w:tc>
          <w:tcPr>
            <w:tcW w:type="dxa" w:w="3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v2, hand-built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36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0.29 (10/35)</w:t>
            </w:r>
          </w:p>
        </w:tc>
      </w:tr>
      <w:tr>
        <w:trPr>
          <w:tblHeader w:val="false"/>
        </w:trPr>
        <w:tc>
          <w:tcPr>
            <w:tcW w:type="dxa" w:w="3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v3, OECD ICIO 2019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405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0.79 (30/38)</w:t>
            </w:r>
          </w:p>
        </w:tc>
      </w:tr>
    </w:tbl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spacing w:after="30" w:before="60"/>
        <w:jc w:val="center"/>
      </w:pPr>
      <w:r>
        <w:drawing>
          <wp:inline distT="0" distB="0" distL="0" distR="0">
            <wp:extent cx="51435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Figure 4.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Cascade spatial reach per event: share of historically-hit nodes reached on the hand-built graph v2 (open) and the ICIO graph v3 (filled).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6.6. Component ablation: what of the complex model actually works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The standard question of a multi-component model is which parts carry weight. A component ablation (N=27, each component disabled in turn — Table 5) gives an uncomfortable but honest answer. Two components — the SEIS state machine and adaptive rerouting — contribute exactly zero on this set; the only component whose removal </w:t>
      </w:r>
      <w:r>
        <w:rPr>
          <w:rFonts w:ascii="Palatino Linotype" w:cs="Palatino Linotype" w:eastAsia="Palatino Linotype" w:hAnsi="Palatino Linotype"/>
          <w:i/>
          <w:iCs/>
          <w:sz w:val="19"/>
          <w:szCs w:val="19"/>
        </w:rPr>
        <w:t xml:space="preserve">hurts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is the bullwhip effect (+0.0023). Removing the R-state floor improves in-sample error (−0.0074), but that removal already failed the pre-registered out-of-sample gate (§5.3) and is rejected. Conclusion: at N=27 the engine's complexity largely does not pay off on the magnitude axis — consistent with §6.1 and pointing to growing N and the trajectory axes rather than adding mechanisms.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space="454" w:num="2" w:equalWidth="true"/>
          <w:docGrid w:linePitch="360"/>
        </w:sectPr>
      </w:pPr>
    </w:p>
    <w:p>
      <w:pPr>
        <w:spacing w:after="40" w:before="60"/>
        <w:jc w:val="left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Table 5.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Component ablation of the engine (N=27): each component's contribution to MAE.</w:t>
      </w:r>
    </w:p>
    <w:tbl>
      <w:tblPr>
        <w:tblW w:type="dxa" w:w="9638"/>
        <w:tblBorders>
          <w:top w:val="single" w:color="1A1A1A" w:sz="12"/>
          <w:left w:val="none" w:color="FFFFFF" w:sz="0"/>
          <w:bottom w:val="single" w:color="1A1A1A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2000"/>
        <w:gridCol w:w="2000"/>
      </w:tblGrid>
      <w:tr>
        <w:trPr>
          <w:tblHeader/>
        </w:trPr>
        <w:tc>
          <w:tcPr>
            <w:tcW w:type="dxa" w:w="5638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Variant</w:t>
            </w:r>
          </w:p>
        </w:tc>
        <w:tc>
          <w:tcPr>
            <w:tcW w:type="dxa" w:w="20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MAE</w:t>
            </w:r>
          </w:p>
        </w:tc>
        <w:tc>
          <w:tcPr>
            <w:tcW w:type="dxa" w:w="20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ΔMAE vs. full</w:t>
            </w:r>
          </w:p>
        </w:tc>
      </w:tr>
      <w:tr>
        <w:trPr>
          <w:tblHeader w:val="false"/>
        </w:trPr>
        <w:tc>
          <w:tcPr>
            <w:tcW w:type="dxa" w:w="5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Full engine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0.0242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5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−SEIS (no state machine)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0.0242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0.0000</w:t>
            </w:r>
          </w:p>
        </w:tc>
      </w:tr>
      <w:tr>
        <w:trPr>
          <w:tblHeader w:val="false"/>
        </w:trPr>
        <w:tc>
          <w:tcPr>
            <w:tcW w:type="dxa" w:w="5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−adaptive rerouting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0.0242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0.0000</w:t>
            </w:r>
          </w:p>
        </w:tc>
      </w:tr>
      <w:tr>
        <w:trPr>
          <w:tblHeader w:val="false"/>
        </w:trPr>
        <w:tc>
          <w:tcPr>
            <w:tcW w:type="dxa" w:w="5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−bullwhip (β = 1)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0.0266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+0.0023</w:t>
            </w:r>
          </w:p>
        </w:tc>
      </w:tr>
      <w:tr>
        <w:trPr>
          <w:tblHeader w:val="false"/>
        </w:trPr>
        <w:tc>
          <w:tcPr>
            <w:tcW w:type="dxa" w:w="5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−R-state floor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0.0169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−0.0074</w:t>
            </w:r>
          </w:p>
        </w:tc>
      </w:tr>
      <w:tr>
        <w:trPr>
          <w:tblHeader w:val="false"/>
        </w:trPr>
        <w:tc>
          <w:tcPr>
            <w:tcW w:type="dxa" w:w="5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+per-node recovery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0.0233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−0.0009</w:t>
            </w:r>
          </w:p>
        </w:tc>
      </w:tr>
      <w:tr>
        <w:trPr>
          <w:tblHeader w:val="false"/>
        </w:trPr>
        <w:tc>
          <w:tcPr>
            <w:tcW w:type="dxa" w:w="5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pure linear diffusion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0.0171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−0.0071</w:t>
            </w:r>
          </w:p>
        </w:tc>
      </w:tr>
    </w:tbl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6.7. Parameter sensitivity and identifiability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A variance-based Sobol sensitivity analysis (1536 engine runs, output mean_industry_loss_MAE, N=27 — Table 6) asks whether the five parameters are identifiable. Two parameters carry the output variance — recovery_rate (ST 0.62) and inventory_scale (ST 0.59) — and their low first-order indices (S1 0.39 and 0.42) against high total effects signal strong interaction between them (ST sum ≈ 1.30 ≫ 1); two parameters are negligible and can be fixed, and one is minor. Thus three of five parameters are effectively non-identifiable individually, with the fitting freedom concentrated in a strongly-coupled (recovery_rate, inventory_scale) pair. This independently corroborates §6.6 (the model is over-complex relative to what the N=27 data can constrain) and explains why per-fold recalibration (§6.4) so easily masks structural edits. (MCMC at 350 steps did not converge, r̂=2.03; Bayesian intervals are left to a longer future run.)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space="454" w:num="2" w:equalWidth="true"/>
          <w:docGrid w:linePitch="360"/>
        </w:sectPr>
      </w:pPr>
    </w:p>
    <w:p>
      <w:pPr>
        <w:spacing w:after="40" w:before="60"/>
        <w:jc w:val="left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Table 6.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Sobol sensitivity indices (N=27): total effect ST and first-order S1 for the five parameters.</w:t>
      </w:r>
    </w:p>
    <w:tbl>
      <w:tblPr>
        <w:tblW w:type="dxa" w:w="9638"/>
        <w:tblBorders>
          <w:top w:val="single" w:color="1A1A1A" w:sz="12"/>
          <w:left w:val="none" w:color="FFFFFF" w:sz="0"/>
          <w:bottom w:val="single" w:color="1A1A1A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3238"/>
        <w:gridCol w:w="1600"/>
        <w:gridCol w:w="1600"/>
        <w:gridCol w:w="3200"/>
      </w:tblGrid>
      <w:tr>
        <w:trPr>
          <w:tblHeader/>
        </w:trPr>
        <w:tc>
          <w:tcPr>
            <w:tcW w:type="dxa" w:w="3238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Parameter</w:t>
            </w:r>
          </w:p>
        </w:tc>
        <w:tc>
          <w:tcPr>
            <w:tcW w:type="dxa" w:w="16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ST</w:t>
            </w:r>
          </w:p>
        </w:tc>
        <w:tc>
          <w:tcPr>
            <w:tcW w:type="dxa" w:w="16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S1</w:t>
            </w:r>
          </w:p>
        </w:tc>
        <w:tc>
          <w:tcPr>
            <w:tcW w:type="dxa" w:w="32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Reading</w:t>
            </w:r>
          </w:p>
        </w:tc>
      </w:tr>
      <w:tr>
        <w:trPr>
          <w:tblHeader w:val="false"/>
        </w:trPr>
        <w:tc>
          <w:tcPr>
            <w:tcW w:type="dxa" w:w="3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recovery_rate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0.617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0.392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variance + interactions</w:t>
            </w:r>
          </w:p>
        </w:tc>
      </w:tr>
      <w:tr>
        <w:trPr>
          <w:tblHeader w:val="false"/>
        </w:trPr>
        <w:tc>
          <w:tcPr>
            <w:tcW w:type="dxa" w:w="3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inventory_scale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0.592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0.416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variance + interactions</w:t>
            </w:r>
          </w:p>
        </w:tc>
      </w:tr>
      <w:tr>
        <w:trPr>
          <w:tblHeader w:val="false"/>
        </w:trPr>
        <w:tc>
          <w:tcPr>
            <w:tcW w:type="dxa" w:w="3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bullwhip_factor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0.077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0.011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3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amplification_mu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0.002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negligible — can be fixed</w:t>
            </w:r>
          </w:p>
        </w:tc>
      </w:tr>
      <w:tr>
        <w:trPr>
          <w:tblHeader w:val="false"/>
        </w:trPr>
        <w:tc>
          <w:tcPr>
            <w:tcW w:type="dxa" w:w="3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distress_base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0.000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negligible — can be fixed</w:t>
            </w:r>
          </w:p>
        </w:tc>
      </w:tr>
    </w:tbl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6.8. Structure versus tuning: the dense graph with a single parameter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Section 6.5 showed the ICIO graph reaches far more of the observed cascade, but its magnitudes were never scored: v3's parameters are uncalibrated structural priors and its predictions run roughly four times hot. Is that a shape error or a scale error?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It is scale. At default parameters the raw v3 ranks events markedly better than the fully calibrated v2 (Spearman 0.80 vs. 0.44) while systematically over-predicting (mean prediction 0.090 vs. observed 0.023). We added a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single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free quantity — a global scale factor fitted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out-of-sample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(leave-one-out: k is least-squares estimated on the other N−1 events and applied to the held-out one). Chokepoint events have no v3 representation, so all models are scored on the same 24 events (Table 7). The mean LOO factor k ≈ 0.26 is stable across folds.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space="454" w:num="2" w:equalWidth="true"/>
          <w:docGrid w:linePitch="360"/>
        </w:sectPr>
      </w:pPr>
    </w:p>
    <w:p>
      <w:pPr>
        <w:spacing w:after="40" w:before="60"/>
        <w:jc w:val="left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Table 7.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The dense ICIO graph with one out-of-sample scale factor versus the calibrated v2 engine and the zero-parameter baselines (same 24 events).</w:t>
      </w:r>
    </w:p>
    <w:tbl>
      <w:tblPr>
        <w:tblW w:type="dxa" w:w="9638"/>
        <w:tblBorders>
          <w:top w:val="single" w:color="1A1A1A" w:sz="12"/>
          <w:left w:val="none" w:color="FFFFFF" w:sz="0"/>
          <w:bottom w:val="single" w:color="1A1A1A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3838"/>
        <w:gridCol w:w="1900"/>
        <w:gridCol w:w="1950"/>
        <w:gridCol w:w="1950"/>
      </w:tblGrid>
      <w:tr>
        <w:trPr>
          <w:tblHeader/>
        </w:trPr>
        <w:tc>
          <w:tcPr>
            <w:tcW w:type="dxa" w:w="3838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19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Free params</w:t>
            </w:r>
          </w:p>
        </w:tc>
        <w:tc>
          <w:tcPr>
            <w:tcW w:type="dxa" w:w="195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MAE</w:t>
            </w:r>
          </w:p>
        </w:tc>
        <w:tc>
          <w:tcPr>
            <w:tcW w:type="dxa" w:w="195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Spearman</w:t>
            </w:r>
          </w:p>
        </w:tc>
      </w:tr>
      <w:tr>
        <w:trPr>
          <w:tblHeader w:val="false"/>
        </w:trPr>
        <w:tc>
          <w:tcPr>
            <w:tcW w:type="dxa" w:w="3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GEDS v3 + LOO scale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0.0133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+0.788</w:t>
            </w:r>
          </w:p>
        </w:tc>
      </w:tr>
      <w:tr>
        <w:trPr>
          <w:tblHeader w:val="false"/>
        </w:trPr>
        <w:tc>
          <w:tcPr>
            <w:tcW w:type="dxa" w:w="3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Leontief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0.0182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+0.331</w:t>
            </w:r>
          </w:p>
        </w:tc>
      </w:tr>
      <w:tr>
        <w:trPr>
          <w:tblHeader w:val="false"/>
        </w:trPr>
        <w:tc>
          <w:tcPr>
            <w:tcW w:type="dxa" w:w="3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Linear diffusion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0.0185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+0.707</w:t>
            </w:r>
          </w:p>
        </w:tc>
      </w:tr>
      <w:tr>
        <w:trPr>
          <w:tblHeader w:val="false"/>
        </w:trPr>
        <w:tc>
          <w:tcPr>
            <w:tcW w:type="dxa" w:w="3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Naive mean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0.0227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GEDS v2 (calibrated)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5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0.0266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+0.444</w:t>
            </w:r>
          </w:p>
        </w:tc>
      </w:tr>
      <w:tr>
        <w:trPr>
          <w:tblHeader w:val="false"/>
        </w:trPr>
        <w:tc>
          <w:tcPr>
            <w:tcW w:type="dxa" w:w="3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GEDS v3 raw (no scale)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0.0677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+0.802</w:t>
            </w:r>
          </w:p>
        </w:tc>
      </w:tr>
    </w:tbl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This is the first configuration to lead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every metric at once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— achieved with one parameter instead of five.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What we do not claim: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no advantage is significant — against Leontief ΔMAE −0.0049 (p = 0.34), against linear diffusion −0.0052 (p = 0.50), against the naive mean −0.0094 (p = 0.06), against v2 −0.0132 (p = 0.17). The §6.1 parity finding is therefore not overturned but confirmed once more, now on the best available configuration: even it does not separate from the baselines at this N — exactly what the §6.4 power analysis predicts.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The substantive meaning lies elsewhere. Replacing the hand-built graph with measured input–output structure buys more on magnitude than calibrating five dynamics parameters on the hand-built graph (0.0133 vs. 0.0266) — the magnitude-axis counterpart of the spatial result in §6.5. Both point the same way: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the information carried by network completeness and accuracy is not substitutable by parameter tuning.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6.9. Full v3 calibration: five parameters are significantly WORSE than one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The five-parameter LOO calibration on the dense graph (24 folds, per-fold differential evolution) was run and returns an unexpected result — Table 7. Pairwise, one parameter against five: ΔMAE = −0.0148, 95% CI [−0.0292, −0.0031], p = 0.037 —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significant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. This is the only statistically significant model difference anywhere in this work, and it concerns parsimony: on a 405-node graph with ~23 training events per fold, four extra degrees of freedom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measurably hurt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generalisation. It converges with §6.6 (two components contribute exactly zero) and §6.7 (three of five parameters non-identifiable) — three independent methods reaching the same over-parameterization verdict.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space="454" w:num="2" w:equalWidth="true"/>
          <w:docGrid w:linePitch="360"/>
        </w:sectPr>
      </w:pPr>
    </w:p>
    <w:p>
      <w:pPr>
        <w:spacing w:after="40" w:before="60"/>
        <w:jc w:val="left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Table 7.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Full out-of-sample comparison on the dense v3 graph (24 folds, leave-one-out).</w:t>
      </w:r>
    </w:p>
    <w:tbl>
      <w:tblPr>
        <w:tblW w:type="dxa" w:w="9638"/>
        <w:tblBorders>
          <w:top w:val="single" w:color="1A1A1A" w:sz="12"/>
          <w:left w:val="none" w:color="FFFFFF" w:sz="0"/>
          <w:bottom w:val="single" w:color="1A1A1A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4238"/>
        <w:gridCol w:w="1600"/>
        <w:gridCol w:w="1800"/>
        <w:gridCol w:w="2000"/>
      </w:tblGrid>
      <w:tr>
        <w:trPr>
          <w:tblHeader/>
        </w:trPr>
        <w:tc>
          <w:tcPr>
            <w:tcW w:type="dxa" w:w="4238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Configuration</w:t>
            </w:r>
          </w:p>
        </w:tc>
        <w:tc>
          <w:tcPr>
            <w:tcW w:type="dxa" w:w="16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Params</w:t>
            </w:r>
          </w:p>
        </w:tc>
        <w:tc>
          <w:tcPr>
            <w:tcW w:type="dxa" w:w="18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MAE</w:t>
            </w:r>
          </w:p>
        </w:tc>
        <w:tc>
          <w:tcPr>
            <w:tcW w:type="dxa" w:w="20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Spearman</w:t>
            </w:r>
          </w:p>
        </w:tc>
      </w:tr>
      <w:tr>
        <w:trPr>
          <w:tblHeader w:val="false"/>
        </w:trPr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v3 + single LOO-fitted scale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0.0133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+0.788</w:t>
            </w:r>
          </w:p>
        </w:tc>
      </w:tr>
      <w:tr>
        <w:trPr>
          <w:tblHeader w:val="false"/>
        </w:trPr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v3 + five per-fold DE params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0.0281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+0.565</w:t>
            </w:r>
          </w:p>
        </w:tc>
      </w:tr>
      <w:tr>
        <w:trPr>
          <w:tblHeader w:val="false"/>
        </w:trPr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v2 + five calibrated params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0.0266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+0.444</w:t>
            </w:r>
          </w:p>
        </w:tc>
      </w:tr>
      <w:tr>
        <w:trPr>
          <w:tblHeader w:val="false"/>
        </w:trPr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Leontief / diffusion / naive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0.0182 / 0.0185 / 0.0227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—</w:t>
            </w:r>
          </w:p>
        </w:tc>
      </w:tr>
    </w:tbl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6.10. The dense graph closes both structural walls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The two systematic misses declared unsolved in §6.4 — and resistant to three pre-registered mechanism experiments — nearly vanish on the dense graph (out-of-sample, LOO-DE): Chi-Chi 1999 absolute error 0.188 → 0.014 (13.6×) and the 2008–09 crisis 0.079 → 0.028 (2.9×). This changes the diagnosis of both. Chi-Chi failed to heal, and the 2008–09 crisis was under-predicted, not because the engine lacked a mechanism but because a hand-built 41-node graph could not express the paths along which those shocks actually travelled. The three attempts to fix the dynamics (§5.3) failed precisely because they treated the wrong cause.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Both walls were network-coverage problems, not dynamics problems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— the strongest confirmation of this paper's central claim.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Honest caveats to §6.9–6.10: the event set here is 24 (chokepoint-only events have no v3 node), so these numbers are not directly comparable with the headline N=27; and the model class (a scale correction) was chosen after v3's behaviour was known — the scale itself is fitted leave-one-out, but the choice of that correction form was not pre-registered. The advantage over the zero-parameter baselines remains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non-significant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(p = 0.06–0.50), so the §6.1 parity headline stands.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7. Discussion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Three results combine into one conclusion. (1) On the axis almost every paper reports — point magnitude — four fundamentally different models are statistically indistinguishable, and this is not an artifact of weak tuning: the parity survives per-fold recalibration and is quantitatively power-limited. (2) The axes that do separate the models are temporal and spatial: where only a full dynamic model can even compete, its results are significant (0.69 and 0.88). (3) The largest measured quality gain came not from dynamics but from network-structure data (recall 0.29 → 0.79, free in parameters).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Practical takeaway: cascade models should be validated by “predict the pattern, not one number,” or leaderboards compare noise. Methodological takeaway: pre-registering gates turns negative results into publishable assets.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8. Limitations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N=27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for Track A and n=5/15/11 for Track B — power is limited; absence of significance is not equivalence (§6.4).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The node-magnitude axis is empty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(n=5, CI [−1; 1]): monthly fab-output indices are seldom published.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Two structural misses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(Chi-Chi, the 2008–09 crisis) are described but not solved; three fix attempts were rejected by the out-of-sample gate.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Baselines are canonical rather than published implementations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comparison against published cascade models [11,12] is the next step.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Event selection is biased toward the documented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— now measured rather than assumed, see below.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8.1. Measured selection bias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EM-DAT (CRED/UCLouvain, 19,651 disasters) provides an external population against which the benchmark's coverage can be measured. For disasters in our 12 countries since 1995 we cover 54% of those causing &gt;=$50bn damage, 19% of &gt;=$10bn, 10% of &gt;=$5bn and 9% of &gt;=$1bn. The gradient IS the bias: most of the very largest disruptions are covered and progressively fewer mid-sized ones. The misses are systematic rather than arbitrary — the largest uncovered events (Wenchuan 2008, hurricanes Ian/Sandy/Helene, the 1998 China floods) inflict damage mainly on housing and infrastructure rather than the manufacturing capacity the benchmark calibrates on; Harvey 2017 is included precisely because it struck petrochemicals.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A tempting route to a larger N was tested and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rejected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pairing disaster records with national industrial-production indices. Of 76 US disasters with &gt;=$5bn damage since 1972, only 7 (9%) coincide with an &gt;=8% year-over-year fall in motor-vehicle output, and every one is explained by a concurrent macro event or is already in the set. Hurricane Katrina ($206bn) fell in a month when US automotive output ROSE 2.8%. The reason is structural: a national index averages the whole country and dilutes a regional shock.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Graph completeness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v2 omits several real producers; v3 (405 nodes) is not yet calibrated on magnitudes.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9. Reproducibility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The engine configuration is pinned (fixed seeds, stochasticity off); results are frozen by golden tests, and any numeric change is an explicit diff in the same commit. The statistical layer is deterministic (seed 20260718). The headline-numbers document and all figures are generated by scripts from artifacts; each figure ships with its numeric table. 157 automated tests. Exact commands are in Appendix B.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10. Conclusion and Future Work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The benchmark and three-axis validation give a way to tell cascade models apart in a statistically honest manner. Next: grow N via chokepoint events (IMF PortWatch transit data sidesteps the aggregate-dilution problem); calibrate magnitudes on the 405-node ICIO graph; a demand-side mechanism for 2008–09-type events; and releasing the benchmark as an open standard for third-party models.</w:t>
      </w:r>
    </w:p>
    <w:p>
      <w:pPr>
        <w:spacing w:after="40" w:before="100"/>
      </w:pPr>
      <w:r>
        <w:rPr>
          <w:rFonts w:ascii="Palatino Linotype" w:cs="Palatino Linotype" w:eastAsia="Palatino Linotype" w:hAnsi="Palatino Linotype"/>
          <w:b/>
          <w:bCs/>
          <w:color w:val="1A1A1A"/>
          <w:sz w:val="18"/>
          <w:szCs w:val="18"/>
        </w:rPr>
        <w:t xml:space="preserve">Back matter</w:t>
      </w:r>
    </w:p>
    <w:p>
      <w:pPr>
        <w:spacing w:after="20" w:line="24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Data and code availability.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All data, engine code, validation scripts and artifacts are open in the project repository; every calibration target carries a primary source. Numbers reproduce via the Appendix B commands.</w:t>
      </w:r>
    </w:p>
    <w:p>
      <w:pPr>
        <w:spacing w:after="20" w:line="24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Author contributions.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[Complete per CRediT: conceptualization, methodology, software, validation, formal analysis, writing — original draft / review &amp; editing, visualization.]</w:t>
      </w:r>
    </w:p>
    <w:p>
      <w:pPr>
        <w:spacing w:after="20" w:line="24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Funding.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[This research received no external funding / state the grant.]</w:t>
      </w:r>
    </w:p>
    <w:p>
      <w:pPr>
        <w:spacing w:after="20" w:line="24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Institutional review.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Not applicable (no human or animal subjects; only aggregate open economic data).</w:t>
      </w:r>
    </w:p>
    <w:p>
      <w:pPr>
        <w:spacing w:after="20" w:line="24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Conflicts of interest.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The author(s) declare no conflict of interest.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References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1. Acemoglu, D.; Carvalho, V.M.; Ozdaglar, A.; Tahbaz-Salehi, A. The Network Origins of Aggregate Fluctuations.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Econometrica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2012, 80, 1977–2016. doi:10.3982/ECTA9623.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2. Acemoglu, D.; Ozdaglar, A.; Tahbaz-Salehi, A. Microeconomic Origins of Macroeconomic Tail Risks.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American Economic Review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2017, 107, 54–108. doi:10.1257/aer.20151086.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3. Baqaee, D.R. Cascading Failures in Production Networks.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Working Paper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2016.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4. Bigio, S.; La'O, J. Distortions in Production Networks.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Quarterly Journal of Economics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2020, 135, 2187–2253. doi:10.1093/qjecon/qjaa002.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5. Carvalho, V.M.; Nirei, M.; Saito, Y.U.; Tahbaz-Salehi, A. Supply Chain Disruptions: Evidence from the Great East Japan Earthquake.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Quarterly Journal of Economics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2021, 136, 1255–1321. doi:10.1093/qje/qjaa044.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6. Barrot, J.-N.; Sauvagnat, J. Input Specificity and the Propagation of Idiosyncratic Shocks in Production Networks.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Quarterly Journal of Economics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2016, 131, 1543–1592. doi:10.1093/qje/qjw018.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7. Boehm, C.E.; Flaaen, A.; Pandalai-Nayar, N. Input Linkages and the Transmission of Shocks: Firm-Level Evidence from the 2011 Tōhoku Earthquake.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Review of Economics and Statistics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2019, 101, 60–75. doi:10.1162/rest_a_00750.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8. Gabaix, X. The Granular Origins of Aggregate Fluctuations.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Econometrica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2011, 79, 733–772. doi:10.3982/ECTA8769.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9. di Giovanni, J.; Levchenko, A.A. Country Size, International Trade, and Aggregate Fluctuations in Granular Economies.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Journal of Political Economy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2012, 120, 1083–1132. doi:10.1086/669161.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10. Oberfield, E.; et al. Aggregate Fluctuations in Adaptive Production Networks.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PNAS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2022, 119, e2203730119. doi:10.1073/pnas.2203730119.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11. Inoue, H.; Todo, Y. Firm-Level Propagation of Shocks Through Supply-Chain Networks.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Nature Sustainability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2019, 2, 841–847. doi:10.1038/s41893-019-0357-z.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12. Otto, C.; Willner, S.N.; Wenz, L.; Frieler, K.; Levermann, A. Modeling Loss-Propagation in the Global Supply Network: The Dynamic Agent-Based Model Acclimate.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Journal of Economic Dynamics &amp; Control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2017, 83, 232–269. doi:10.1016/j.jedc.2017.08.001.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13. Allen, F.; Gale, D. Financial Contagion.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Journal of Political Economy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2000, 108, 1–33. doi:10.1086/262109.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14. Gai, P.; Kapadia, S. Contagion in Financial Networks.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Proceedings of the Royal Society A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2010, 466, 2401–2423. doi:10.1098/rspa.2009.0410.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15. Battiston, S.; Delli Gatti, D.; Gallegati, M.; Greenwald, B.; Stiglitz, J.E. Liaisons Dangereuses: Increasing Connectivity, Risk Sharing, and Systemic Risk.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Journal of Economic Dynamics &amp; Control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2012, 36, 1121–1141. doi:10.1016/j.jedc.2012.04.001.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16. Elliott, M.; Golub, B.; Jackson, M.O. Financial Networks and Contagion.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American Economic Review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2014, 104, 3115–3153. doi:10.1257/aer.104.10.3115.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17. Haldane, A.G.; May, R.M. Systemic Risk in Banking Ecosystems.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Nature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2011, 469, 351–355. doi:10.1038/nature09659.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18. Eichenbaum, M.S.; Rebelo, S.; Trabandt, M. The Macroeconomics of Epidemics.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Review of Financial Studies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2021, 34, 5149–5187. doi:10.1093/rfs/hhab040.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19. Coquidé, C.; Lages, J.; Shepelyansky, D.L. Crisis Contagion in the World Trade Network.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Applied Network Science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2020, 5, 67. doi:10.1007/s41109-020-00304-z.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20. Acemoglu, D.; Ozdaglar, A.; Tahbaz-Salehi, A. Systemic Risk and Stability in Financial Networks.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American Economic Review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2015, 105, 564–608. doi:10.1257/aer.20130456.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21. Starnini, M.; Boguñá, M.; Serrano, M.Á. Shock Propagation on Global Trade-Investment Multiplex Networks.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Scientific Reports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2019, 9, 13079. doi:10.1038/s41598-019-49173-2.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22. Hidalgo, C.A.; Hausmann, R. The Building Blocks of Economic Complexity.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PNAS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2009, 106, 10570–10575. doi:10.1073/pnas.0900943106.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23. Caliendo, L.; Parro, F.; Rossi-Hansberg, E.; Sarte, P.-D. The Impact of Regional and Sectoral Productivity Changes on the U.S. Economy.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Review of Economic Studies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2018, 85, 2042–2096. doi:10.1093/restud/rdx082.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24. Eaton, J.; Kortum, S. Technology, Geography, and Trade.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Econometrica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2002, 70, 1741–1779. doi:10.1111/1468-0262.00352.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25. OECD. Inter-Country Input-Output (ICIO) Tables, 2025 Edition (Year 2019); OECD: Paris, 2025.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26. International Monetary Fund. PortWatch: Daily Chokepoint Transit Data; IMF: Washington, DC, 2021–2024.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27. OICA; JAMA; VDA; SIA. Industry Motor-Vehicle and Semiconductor Production Statistics, 1999–2023.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Appendix A. Full event benchmark (N=27)</w:t>
      </w:r>
    </w:p>
    <w:p>
      <w:pPr>
        <w:spacing w:after="20" w:line="24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Generated from seed_data.py; per-event primary sources are line-by-line in historical_events.csv. “Magn.” is the source-side shock magnitude (model input), “Target” is the observed loss (validation output).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space="454" w:num="2" w:equalWidth="true"/>
          <w:docGrid w:linePitch="360"/>
        </w:sectPr>
      </w:pPr>
    </w:p>
    <w:tbl>
      <w:tblPr>
        <w:tblW w:type="dxa" w:w="9638"/>
        <w:tblBorders>
          <w:top w:val="single" w:color="1A1A1A" w:sz="12"/>
          <w:left w:val="none" w:color="FFFFFF" w:sz="0"/>
          <w:bottom w:val="single" w:color="1A1A1A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3778"/>
        <w:gridCol w:w="2600"/>
        <w:gridCol w:w="900"/>
        <w:gridCol w:w="900"/>
        <w:gridCol w:w="900"/>
      </w:tblGrid>
      <w:tr>
        <w:trPr>
          <w:tblHeader/>
        </w:trPr>
        <w:tc>
          <w:tcPr>
            <w:tcW w:type="dxa" w:w="56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778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Event</w:t>
            </w:r>
          </w:p>
        </w:tc>
        <w:tc>
          <w:tcPr>
            <w:tcW w:type="dxa" w:w="26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Node</w:t>
            </w:r>
          </w:p>
        </w:tc>
        <w:tc>
          <w:tcPr>
            <w:tcW w:type="dxa" w:w="9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Magn.</w:t>
            </w:r>
          </w:p>
        </w:tc>
        <w:tc>
          <w:tcPr>
            <w:tcW w:type="dxa" w:w="9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Dur.</w:t>
            </w:r>
          </w:p>
        </w:tc>
        <w:tc>
          <w:tcPr>
            <w:tcW w:type="dxa" w:w="9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covid-semiconductor-2020-2021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TWN:semiconductors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0.30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0.115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suez-canal-2021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CP:Suez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0.90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0.008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3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auto-chip-shortage-2021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TWN:semiconductors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30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0.077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4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japan-triple-disaster-2011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JPN:automotive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0.40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0.039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5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us-china-tariffs-2019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CHN:electronics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0.12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52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0.020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6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texas-winter-storm-2021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USA:semiconductors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0.15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0.005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7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eu-energy-crisis-2021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DEU:automotive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0.015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8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malaysia-semiconductor-2021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MYS:semiconductors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0.30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0.012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9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thailand-floods-2011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THA:automotive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0.65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0.025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10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kumamoto-earthquake-2016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JPN:semiconductors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0.20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0.006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11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renesas-naka-fire-2021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JPN:semiconductors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0.28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0.016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12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japan-korea-export-controls-2019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KOR:semiconductors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0.002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13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vietnam-covid-lockdown-2021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VNM:electronics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0.30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0.012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14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shanghai-lockdown-2022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CHN:automotive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0.45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0.018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15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ukraine-war-harness-2022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DEU:automotive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0.16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0.012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16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china-power-crunch-2021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CHN:electronics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0.12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0.005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17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yantian-port-closure-2021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CHN:shipping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0.006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18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us-west-coast-ports-2021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USA:shipping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0.30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0.008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19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red-sea-crisis-2023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CP:Suez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0.55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40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0.010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20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taiwan-drought-2021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TWN:semiconductors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0.002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21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india-covid-wave-2021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IND:automotive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0.35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0.004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22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taiwan-chichi-earthquake-1999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TWN:semiconductors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0.90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0.005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23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hurricane-harvey-2017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USA:consumer_goods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0.002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24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us-west-coast-ports-2015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USA:shipping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0.007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25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korea-trucker-strikes-2022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KOR:automotive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0.50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0.002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26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panama-canal-drought-2023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CP:Panama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0.30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30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0.005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27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gfc-auto-collapse-2008-2009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USA:automotive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0.47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39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0.130</w:t>
            </w:r>
          </w:p>
        </w:tc>
      </w:tr>
    </w:tbl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Appendix B. Reproducibility</w:t>
      </w:r>
    </w:p>
    <w:p>
      <w:pPr>
        <w:spacing w:after="20" w:line="24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All numbers in the paper regenerate from the repository:</w:t>
      </w:r>
    </w:p>
    <w:tbl>
      <w:tblPr>
        <w:tblW w:type="dxa" w:w="9638"/>
        <w:tblBorders>
          <w:top w:val="single" w:color="D7E2DB" w:sz="3"/>
          <w:left w:val="single" w:color="D7E2DB" w:sz="3"/>
          <w:bottom w:val="single" w:color="D7E2DB" w:sz="3"/>
          <w:right w:val="single" w:color="D7E2DB" w:sz="3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2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backend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-m scripts.significance_analysis   # significance.json (6.1, 6.2)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-m scripts.power_analysis          # power_analysis.json (6.4)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-m scripts.isef_figures            # 4 figures + CSVs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-m scripts.results_onepager        # docs/RESULTS.md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-c 'from app.core.ablation import run_ablation_study,save_ablation;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save_ablation(run_ablation_study())'   # ablation (6.6)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-c 'from app.core.sensitivity import run_sobol,save_sobol;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save_sobol(run_sobol())'   # Sobol (6.7)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-m pytest --ignore=tests/test_portwatch.py   # 157 tests</w:t>
            </w:r>
          </w:p>
        </w:tc>
      </w:tr>
    </w:tbl>
    <w:sectPr>
      <w:type w:val="continuous"/>
      <w:pgSz w:w="11906" w:h="16838" w:orient="portrait"/>
      <w:pgMar w:top="1134" w:right="1134" w:bottom="1134" w:left="1134" w:header="708" w:footer="708" w:gutter="0"/>
      <w:pgNumType/>
      <w:cols w:space="454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1A1A1A"/>
        <w:sz w:val="19"/>
        <w:szCs w:val="19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523aa1ade757e495c443f46889ee0a5b946639.png"/><Relationship Id="rId8" Type="http://schemas.openxmlformats.org/officeDocument/2006/relationships/image" Target="media/171df3e3575383b655b04a9426bb257c8bc24438.png"/><Relationship Id="rId9" Type="http://schemas.openxmlformats.org/officeDocument/2006/relationships/image" Target="media/d823a4fac61c80987e17c1332d8dc51dd27bbfc4.png"/><Relationship Id="rId10" Type="http://schemas.openxmlformats.org/officeDocument/2006/relationships/image" Target="media/b46fe7d0f644b4f60d88d0ddc3fd2f9a0a85fa0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GEDS — three-axis validation (preprint)</dc:title>
  <dc:creator>GEDS</dc:creator>
  <cp:lastModifiedBy>Un-named</cp:lastModifiedBy>
  <cp:revision>1</cp:revision>
  <dcterms:created xsi:type="dcterms:W3CDTF">2026-08-01T10:22:10.633Z</dcterms:created>
  <dcterms:modified xsi:type="dcterms:W3CDTF">2026-08-01T10:22:10.634Z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