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[Название журнала] · рабочий препринт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Открытый доступ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[Фамилия Имя]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[Учебное заведение], [Город], [Страна]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Траекторная валидация — различает: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параметров: связывающее ограничение — полнота сети, а не подгонка. Все результаты детерминированы, зафиксированы golden-тестами и воспроизводятся из открытого репозитория одной командой.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Распространяется на условиях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 («глобальные потери составили X%»).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(отраслевые статагентства, центробанки, МВФ)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— пик/тайминг/восстановление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 (10 000 ресемплов), парный бутстрэп с общими индексами, знаковые перестановочные тесты (20 000 перестановок)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Распространение шоков по производственным сетям — устоявшаяся область: Acemoglu и соавт. (2012) заложили теорию сетевых истоков агрегатных флуктуаций; Carvalho и соавт. (2021) эмпирически проследили каскад землетрясения Тохоку по цепочкам поставщиков; Barrot и Sauvagnat (2016) измерили передачу шоков между фирмами. Эффект хлыста — учебная классика (Lee и соавт., 1997); гистерезис выпуска после кризисов — эмпирический консенсус (Cerra и Saxena, 2008). Применение эпидемиологических SEIR-схем к цепочкам поставок появилось недавно и мейнстримом не стало.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Насколько нам известно, ни одна опубликованная работа (а) не совмещает SEIRS-динамику, эффект хлыста и гистерезис в одном движке и (б), что важнее, не валидирует модель каскадов одновременно по магнитуде, форме траектории и пространственному охвату на десятках разнотипных исторических событий. Постановка «валидируем валидацию» перекликается с M-соревнованиями в прогнозировании, где простые методы систематически оказывались неотличимы от сложных или лучше их — наш результат воспроизводит этот паттерн в новой предметной области.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Примеры: тройная катастрофа в Японии 2011 (JPN:automotive, JAMA: −60,1% месячного выпуска на узле, глобальная цель −3,9%), коллапс автопрома в мировой финансовый кризис 2008–09 (USA:automotive, OICA: −13,1% мирового производства за год, ФРС: −47% SAAR в нижней точке), блокировка Суэца 2021 (CP:Suez, транзитный дефицit по данным IMF PortWatch).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(письменный, версионируется в репозитории): уровень 1 — отраслевые статагентства (OICA, JAMA, VDA, SIA) и официальные макроданные (центробанки, МВФ, Всемирный банк, IMF PortWatch); уровень 2 — отчётность и релизы компаний; уровень 3 (Reuters/Bloomberg/Nikkei) — только при прямой цитате уровня 1/2; агрегаторы и Wikipedia для ключевых чисел запрещены. Правила: пик отличается от остаточного значения; производные числа помечаются [DERIVED] с формулой; узел назначается по месту производства, а не по юрисдикции штаб-квартиры.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события, не прошедшие протокол (нет чистого первичного числа — пожар Philips 2000; структурная неполнота графа — Boeing 737 MAX), документируются как невключённые с указанием причины, а не подгоняются. База также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 отдельные наборы: пиковая потеря выпуска непосредственно шокированного сектора в стране-источнике (THA:automotive −87,5%, Bank of Thailand/FTI, ноябрь 2011; только измеримые цели, статус «null» с причиной — где чистого источника не существует); недели до пика и недели до восстановления 90% (n=15 и n=11); 62 строки «событие → поражённый узел → неделя начала» с первичной ссылкой на каждую.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3.3.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Основной граф v2: 41 узел (12 стран × 6 отраслей + 5 чокпойнтов), рёбра взвешены по данным UN Comtrade и литературе, веса перепроверены против измеренных межотраслевых потоков OECD ICIO (Spearman 0,79–0,84 для семейств рёбер с измеримой конвенцией). Расширенный граф v3: 405 узлов (81 экономика × 5 секторов) непосредственно из таблиц OECD ICIO 2019 без ручных весов.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входящий дефицит) → Infected (потеря выпуска, нелинейное усиление с порогом) → Recovered (гистерезис: выпуск восстанавливается с задержкой, пол потерь 30% до истечения узловой задержки). Заказы вверх по цепочке усиливаются (bullwhip 1,25); адаптивная перемаршрутизация с эффективностью 0,55. Пять калибруемых параметров.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(все — ноль подгоняемых параметров): межотраслевая модель Леонтьева (равновесное распространение по матрице зависимостей); линейная сетевая диффузия; наивный предиктор «всегда среднее по выборке». Конфигурация бенчмарка детерминирована (stochastic_sigma = 0, seed = 0) и запинена; любое изменение результатов ломает golden-тест.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 (не разбавленный отраслевой агрегат):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 — гетероскедастичность типов событий сохраняется: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 — интервал отражает разброс разности на общих событиях, а не сумму разбросов сторон.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статистика — среднее разностей поэлементных |ошибок|; знак каждой разности переворачивается случайно (20 000 перестановок, поправка +1); двусторонний 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приведены в Таблице 1 (95% бутстрэп-ДИ). Точечные оценки создают видимость иерархии (Леонтьев «лучший»), но ни одна из шести парных разностей MAE не значима (Рисунок 1): GEDS−Леонтьев ΔMAE +0,0074 [−0,0031; +0,0218], p=0,42; даже Леонтьев−наивное −0,0040 [−0,0083; +0,0005], p=0,09; остальные пары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четыре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Единственные значимые сигналы Track A — ранговые: линейная диффузия (0,72 [0,40; 0,91]) и GEDS (0,45 [0,06; 0,73]) ранжируют тяжесть событий лучше случайности.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Таблица 1.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GEDS (SEIRS-bull.-hyst.)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Рисунок 1.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 — при N=27 модели неразличимы по магнитуде.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Рисунок 2.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Предсказанное против наблюдаемого по каждой модели, N=27. Пунктир — идеальное совпадение; подписи дают MAE и ранговую корреляцию ρ.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 (равновесный, без времени),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длительностей восстановления (0,88) — сильнейший результат модели;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Таблица 2.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 в коде формы шока: все три реализованные кривые (step, linear, exp) имеют максимум в момент начала, а храповик обновления состояния рендерит убывающее форсирование как прямоугольный импульс — в результате 12 из 15 предсказанных пиков приходились на неделю 0 (всё множество предсказаний: {0, 11, 22} против наблюдаемых 1–52). У движка отсутствовала сама форма «медленно нарастающий шок», которой требуют засухи, портовые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кривая ramp (линейное нарастание к концу окна), и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(заторы западного побережья США 2021; засуха Панамского канала 2023; спросовый коллапс 2008–09; эскалация цен на энергию в ЕС 2021).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Рисунок 3.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Недели до пика: предсказанное против наблюдаемого до (полые кружки) и после (закрашенные) принятия формы ramp. Стрелки — четыре пере-специфицированных события;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проверка: паритет сохраняется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 (Таблица 3). Парно против Леонтьева: ΔMAE +0,0024 [−0,0073; +0,0167], p=0,89 — паритет магнитуды держится и вневыборочно, настроенная модель статистически неотличима от безпараметрических бейслайнов. Два систематических промаха честно фиксируются: землетрясение Чи-Чи 1999 (предсказано 0,19 против наблюдаемых 0,005 — источниковый узел не залечивается за горизонт; три пре-регистрированные попытки исправить это провалили гейт) и кризис 2008–09 (0,051 против 0,130 — спросовый коллапс структурно не похож на моделируемые каскады предложения).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Таблица 3.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Вневыборочная проверка (27-фолдовый leave-one-out с пофолдовой рекалибровкой).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2638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MAE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RMSE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Pearson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Spearman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R²</w:t>
            </w:r>
          </w:p>
        </w:tc>
      </w:tr>
      <w:tr>
        <w:trPr>
          <w:tblHeader w:val="false"/>
        </w:trPr>
        <w:tc>
          <w:tcPr>
            <w:tcW w:type="dxa" w:w="2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GEDS, LOO-рекалиброванный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0,0192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0,0422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0,25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0,56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−0,70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(12 сопоставимых производственных событий, Таблица 4). Плотный граф закрывает именно те дыры, которые ручной граф не мог выразить (каскад пожара Renesas в иностранный автопром: 0/4 → 3/4 узлов). Порядок поражения достигнутых узлов ранжируется хорошо (Spearman 0,79). Ни один параметр при этом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модели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Таблица 4.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7"/>
                <w:szCs w:val="17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7"/>
                <w:szCs w:val="17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7"/>
          <w:szCs w:val="17"/>
        </w:rPr>
        <w:t xml:space="preserve">Рисунок 4.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 Пространственный охват по событиям: доля исторически поражённых узлов, до которых доходит каскад,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рекалибровку. (2) Оси, различающие модели — временные и пространственные: там, где только полная динамическая модель вообще способна конкурировать, её результаты значимы (0,69 и 0,88). (3) Наибольший измеренный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 для области: валидировать модели каскадов нужно по образцу «предсказать паттерн, а не одно число» — иначе таблицы лидеров сравнивают шум. Методологический вывод: пре-регистрация гейтов делает отрицательные результаты публикуемыми активами (три отвергнутых механизма информативнее, чем один принятый без контроля).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осей Track B — мощность ограничена; отсутствие значимости не равно эквивалентности.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 (например, Франции в аэрокосмосе); v3 (405 узлов) пока не откалиброван по магнитудам.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Выбор событий смещён к задокументированным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протокол источников систематически исключает события без первичных чисел.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четыре фигуры генерируются скриптами из артефактов; каждая фигура сопровождается численной таблицей. 157 автотестов. Отдельно зафиксирован эпизод целостности: обнаруженная в ранней версии пайплайна утечка данных была изолирована в карантин с полным аудитом, ядро движка пере-проверено как чистое — история сохранена намеренно.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области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 агрегатов); калибровка магнитуд на 405-узловом ICIO-графе; спросовый механизм для событий типа 2008–09; публикация бенчмарка как открытого стандарта для сторонних моделей.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Раскрытие использования ИИ и благодарности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Инженерная реализация, статистическая обработка и подготовка черновиков документации выполнялись с использованием ИИ-ассистента под руководством автора; постановка задачи, решения о включении данных, принятие/отклонение механизмов по гейтам и финальный текст — авторские. Все данные — из открытых первичных источников, перечисленных построчно в CSV-файлах репозитория.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1. Acemoglu D., Carvalho V., Ozdaglar A., Tahbaz-Salehi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Econometrica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2012, 80(5), 1977–2016.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2. Carvalho V., Nirei M., Saito Y., Tahbaz-Salehi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2021, 136(2), 1255–1321.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3. Barrot J.-N., Sauvagnat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2016, 131(3), 1543–1592.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4. Lee H., Padmanabhan V., Whang S. Information Distortion in a Supply Chain: The Bullwhip Effect.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Management Science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1997, 43(4), 546–558.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5. Cerra V., Saxena S. Growth Dynamics: The Myth of Economic Recovery.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2008, 98(1), 439–457.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6. Makridakis S., Spiliotis E., Assimakopoulos V. The M4/M5 Competitions.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International Journal of Forecasting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2020–2022.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7. Inoue H., Todo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7"/>
          <w:szCs w:val="17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7"/>
          <w:szCs w:val="17"/>
        </w:rPr>
        <w:t xml:space="preserve">, 2019, 2, 841–847.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8. OECD. Inter-Country Input-Output (ICIO) Tables, 2025 edition (year 2019). OECD, Paris.</w:t>
      </w:r>
    </w:p>
    <w:p>
      <w:pPr>
        <w:spacing w:after="30" w:line="22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7"/>
          <w:szCs w:val="17"/>
        </w:rPr>
        <w:t xml:space="preserve">9. IMF PortWatch. Daily chokepoint transit data. International Monetary Fund, 2021–2024.</w:t>
      </w:r>
    </w:p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2026-07-23T20:51:55.534Z</dcterms:created>
  <dcterms:modified xsi:type="dcterms:W3CDTF">2026-07-23T20:51:55.534Z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