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E7C3A" w:sz="18" w:space="6"/>
        </w:pBdr>
        <w:tabs>
          <w:tab w:val="right" w:pos="9638"/>
        </w:tabs>
        <w:spacing w:after="40"/>
      </w:pPr>
      <w:r>
        <w:rPr>
          <w:rFonts w:ascii="Palatino Linotype" w:cs="Palatino Linotype" w:eastAsia="Palatino Linotype" w:hAnsi="Palatino Linotype"/>
          <w:i/>
          <w:iCs/>
          <w:color w:val="595959"/>
          <w:sz w:val="16"/>
          <w:szCs w:val="16"/>
        </w:rPr>
        <w:t xml:space="preserve">[Journal Name] · working preprint</w:t>
      </w:r>
      <w:r>
        <w:rPr>
          <w:rFonts w:ascii="Palatino Linotype" w:cs="Palatino Linotype" w:eastAsia="Palatino Linotype" w:hAnsi="Palatino Linotype"/>
          <w:b/>
          <w:bCs/>
          <w:color w:val="0E7C3A"/>
          <w:sz w:val="16"/>
          <w:szCs w:val="16"/>
        </w:rPr>
        <w:t xml:space="preserve">	Open Access</w:t>
      </w:r>
    </w:p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Article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Can a Single Number Tell a Good Cascade Model from a Naive One? A Three-Axis Validation of a Global Supply-Chain Disruption Simulator on 27 Primary-Sourced Historical Events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Correspondence: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Abstract: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Global supply-chain disruptions — earthquakes, floods, canal blockages, financial crises — cascade across industries and countries, yet published simulation models are typically validated on one or two events and a single error metric. This work asks whether such validation can distinguish a substantive model from a naive baseline at all, and builds the infrastructure to answer it. We assemble a benchmark of 27 historical events (1999–2023, ten categories), each calibrated from primary sources under a written source-tier protocol, and a three-axis validation system scoring (1) global loss magnitude, (2) node-level cascade shape (peak, timing, recovery), and (3) spatial reach. Four models are tested: a novel SEIRS-bullwhip-hysteresis simulator (GEDS), a Leontief input–output model, linear network diffusion, and a naive mean predictor. On point magnitude no model significantly outperforms any other (all six pairwise permutation tests p ≥ 0.09 at N=27), and the result survives leave-one-out per-fold recalibration (p = 0.89): single-number validation cannot separate these models. A power analysis shows that at N=27 the minimum detectable effect (0.018 MAE) exceeds the real inter-model differences (~0.007), so the parity is resolution-limited rather than proven. Trajectory validation does separate the models: GEDS, the only model producing full trajectories, ranks recovery durations at Spearman 0.88 (95% CI 0.56–0.99) and peak timing at 0.69 (0.20–0.87). Replacing the hand-built 12-country graph with the 405-node OECD ICIO graph raises spatial reach from 0.29 to 0.79 with no parameter tuning. All results are deterministic, locked by golden tests, and reproducible from an open repository.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Keywords: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supply chains; shock propagation; model validation; SEIRS; bootstrap; permutation test; power analysis; OECD ICIO; cascade benchmark</w:t>
      </w:r>
    </w:p>
    <w:tbl>
      <w:tblPr>
        <w:tblW w:type="dxa" w:w="9638"/>
        <w:tblBorders>
          <w:top w:val="none" w:color="FFFFFF" w:sz="0"/>
          <w:left w:val="single" w:color="0E7C3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Mar>
              <w:top w:type="dxa" w:w="60"/>
              <w:left w:type="dxa" w:w="160"/>
              <w:bottom w:type="dxa" w:w="60"/>
              <w:right w:type="dxa" w:w="60"/>
            </w:tcMar>
          </w:tcPr>
          <w:p>
            <w:pPr>
              <w:spacing w:after="4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0E7C3A"/>
                <w:sz w:val="17"/>
                <w:szCs w:val="17"/>
              </w:rPr>
              <w:t xml:space="preserve">Highlights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Single-number validation cannot rank four supply-chain cascade models at N=27 (all pairwise p ≥ 0.09).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The null is quantified, not assumed: minimum detectable effect 0.018 MAE vs. real gaps ~0.007; ~166 events needed to resolve.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Trajectory validation separates the models: recovery-duration ranking Spearman 0.88 (95% CI 0.56–0.99).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Grounding the graph in OECD ICIO data lifts spatial reach 0.29 → 0.79 with zero parameter tuning.</w:t>
            </w:r>
          </w:p>
        </w:tc>
      </w:tr>
    </w:tbl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Type: working preprint (ISEF project).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Received / Accepted / Published: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Copyright: © 2026 the author(s).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All numbers are generated from repository artifacts and reproducible under fixed seeds.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Introduction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Motivation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2021 blockage of the Suez Canal by the container ship Ever Given halted roughly 12% of world trade for six days; the 2011 Thai floods cut national vehicle output by 87.5% at their monthly peak; the 2020–2021 chip shortage cost the global auto industry 9.5 million unbuilt vehicles. Policymakers and firms need models that predict how a local shock will propagate across the global production network. The literature offers dozens of such models — yet almost every one is validated on one or two events, most often against a single scalar.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This work began as building yet another model. It ended with a different conclusion: the standard way of validating such models cannot tell a complex model from a naive one, and so a validation instrument that can was built instead.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Research question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Can single-number validation (peak loss magnitude) distinguish a substantive shock-propagation model from trivial baselines — and if not, which validation axes do separate the models?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Contributions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Benchmark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historical disruption events (1999–2023) with calibration targets from primary sources under a written source-tier protocol, plus a library of 17+ documented near-misses as a negative control.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Three-axis validation system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global magnitude (Track A), shocked-node trajectory shape (Track B), spatial reach and onset order.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Statistical layer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event-level bootstrap, paired bootstrap with shared indices, sign-flip permutation tests, and a power analysis — every “better/worse” comes with a confidence interval and a p-value.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An honest headline result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magnitude parity of all four models at N=27 (in- and out-of-sample, and this is a power limit, not equivalence) and significant separation on the trajectory axes, where only GEDS competes.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 mechanistic finding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peak timing was at chance because the engine lacked a rising forcing shape; the defect was localized and the fix adopted through a pre-registered gated experiment.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Related Work and Positioning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work sits at the intersection of four literatures; full references are in the References section.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Shock propagation in production networks.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theoretical foundation was laid by Acemoglu et al. [1] on the network origins of aggregate fluctuations, with continuations on micro-origins and distortions (Acemoglu et al. [2]; Baqaee [3]; Bigio &amp; La'O [4]). The empirical side was established by Carvalho et al. [5], who traced the Tōhoku earthquake cascade through real supplier chains, Barrot &amp; Sauvagnat [6] via input specificity, and Boehm et al. [7]. Granularity as a source of aggregate fluctuations: Gabaix [8], di Giovanni &amp; Levchenko [9], Oberfield et al. [10]. Our work adds no theory here — it uses this structure as a substrate and asks how well dynamic models on it predict real cascades.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Simulation and agent-based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built a firm-level agent-based model of supply-chain propagation; Otto et al. [12] (Acclimate) model climate shocks on international trade. These are typically validated on a single event class; our contribution is orthogonal — a comparative-validation system in which such models can be placed side by side on a common benchmark.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Financial contagion.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Network propagation is well studied in finance: Allen &amp; Gale [13], Gai &amp; Kapadia [14], Battiston et al. [15], Elliott et al. [16], Haldane &amp; May [17], Acemoglu et al. [20]. We borrow the threshold-cascade idea (a node enters “distress” when losses exceed an endogenous threshold) but apply it to production output.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Epidemic dynamics and forecast validation.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Transferring SEIR schemes to economics accelerated after COVID (Eichenbaum et al. [18]; Coquidé et al. [19]; Starnini et al. [21]). A separate relevant thread is comparative-validation methodology — forecasting competitions and temporal-graph benchmarks have repeatedly found simple methods indistinguishable from complex ones; our result reproduces this pattern in a new domain.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Niche.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To the best of our knowledge, no published work combines SEIRS dynamics, the bullwhip effect and hysteresis in one engine and, more importantly, validates a cascade model simultaneously on magnitude, trajectory shape and spatial reach across dozens of heterogeneous events with a full statistical layer. The gap this work closes is not “yet another model” but “how to compare such models honestly.”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Data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Event benchmark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Each event specifies: the shocked node (country:industry or chokepoint), source-side shock magnitude, duration, forcing shape, horizon; and an observed target — the global/industry output loss from a primary source. The full list is Appendix A. Categories: earthquakes, floods, fires, lockdowns, energy crises, port congestion, chokepoint blockages, trade controls, strikes, financial crisis.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Source-tier protocol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(written): tier 1 — industry statistical agencies (OICA, JAMA, VDA, SIA) and official macro data (central banks, IMF, IMF PortWatch [26]); tier 2 — company filings; tier 3 (Reuters/Bloomberg/Nikkei) only when quoting tier 1/2. Rules: peak is distinguished from residual; derived numbers are tagged [DERIVED]; the node is assigned by where production occurred.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Negative control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events without a clean primary number (Philips 2000 fire) or with structural graph gaps (Boeing 737 MAX) are documented as not-wired with the reason, not fitted. The base contains 17+ near-misses — events with little actual cascade: the model is penalized for false positives.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Trajectory targets and graph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For Track B we collect: peak output loss of the shocked sector in the source country (measured targets only, status “null” with a reason where no source exists); weeks-to-peak and weeks-to-90%-recovery; 62 rows of “event → affected node → onset week” each primary-sourced. Graph v2: 41 nodes (12 countries × 6 industries + 5 chokepoints), weights cross-checked against OECD ICIO [25] (Spearman 0.79–0.84). Graph v3: 405 nodes (81 economies × 5 sectors) directly from the ICIO 2019 tables.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the proposed engine: each node moves through Susceptible → Exposed (an inventory buffer absorbs incoming shortfall) → Infected (output loss with nonlinear amplification) → Recovered (hysteresis).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(zero fitted parameters): a Leontief input–output model, linear network diffusion, a naive mean predictor. The configuration is deterministic (stochastic_sigma = 0, seed = 0) and pinned by a golden test.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Formal engine specification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Let s_i(t) ∈ [0, 1] be the shock level of node i in week t and D_eff the effective-dependency matrix. The per-step update (vectorized over nodes). Incoming pressure with the bullwhip effect, where β_i = bullwhip factor (1.25 in state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Impact impulse (δ — propagation decay, V — vulnerability, A — nonlinear amplification, ρ — resilience, the (1−s) factor giving saturation):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Weekly recovery rate tied to the node delay delay_i (8 weeks reference):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0.5)), 0, 0.95 )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State transition, where x_i is the event's external forcing (shape step/linear/exp/ramp), r_i = γ_i·s_i for unforced nodes, ε — noise (ε ≡ 0 in the benchmark):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Observed node output loss (η — elasticity, f_i — the R-state hysteresis floor, ≥ 0.30 while recovering):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Scalar cascade-severity index (c_i — node centrality, d_i — input exposure):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SEIRS states.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node moves S→E when incoming pressure crosses a trigger (an inventory buffer of depth inventory_scale absorbs the shortfall), E→I, I→R as the shock recedes; in R it holds for delay_i weeks with output floor f_i, then returns to S — this is the hysteresis.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Five calibrated parameters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all other quantities are structural or fixed. Baselines formally: Leontief solves an (I−A)^{-1}-type loss equilibrium; linear diffusion iterates s(t+1)=s(t)+δ·(W·s(t)) with no saturation or recovery; the naive predictor returns the sample mean.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Validation Methods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Three axes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(magnitude)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predicted vs. observed global/industry loss,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(shape)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shocked node's own trajectory: peak magnitude (n=5), weeks-to-peak (n=15), weeks-to-90%-recovery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share of historically-hit nodes the cascade reaches (recall), and the rank correlation of onset order.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Statistical layer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At N=27 the question “is the difference significant?” comes first. All procedures are deterministic (seed 20260718) and resample whole events.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Bootstrap CIs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per metric: 10,000 resamples, percentile 95% intervals.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Paired bootstrap of differences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shared resample indices for both models.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Sign-flip permutation test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a pair (A, B) with per-event absolute errors e_A, e_B: statistic T = |mean(|e_A|−|e_B|)|; under H0 each difference's sign is flipped independently (20,000 permutations); two-sided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Power analysis / minimum detectable effect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for paired differences d_i, the smallest mean MAE difference detectable at 80% power and α=0.05, and the N required for the observed difference: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( 2.80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Out-of-sample check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leave-one-out cross-validation with per-fold differential-evolution recalibration of the five parameters — the held-out event never influences its own parameters; the baselines have no parameters.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Pre-registration of mechanism changes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Every engine change passes a pre-declared gate. Negative outcomes are preserved in the project record: inventory absorption, per-node recovery, hysteresis-floor removal — all three improved in-sample metrics and were rejected by the out-of-sample gate. The adopted change (ramp, §6.3) passed the same protocol.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Results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magnitude parity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four models at default parameters are in Table 1. Point estimates suggest a hierarchy, but none of the six pairwise MAE differences is significant (Figure 1): GEDS−Leontief ΔMAE +0.0074 [−0.0031; +0.0218], p=0.42; Leontief−naive −0.0040 [−0.0083; +0.0005], p=0.09; the rest p=0.21–0.97.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At N=27 single-number validation does not rank these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only significant Track-A signals are rank-based: linear diffusion (0.72 [0.40; 0.91]) and GEDS (0.45 [0.06; 0.73]).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Four models at default parameters; MAE / RMSE / Spearman with 95% bootstrap CIs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Model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CI]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CI]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 [0.011; 0.040]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0.0464 [0.021; 0.067]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 [0.06; 0.73]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0.0168 [0.008; 0.028]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0.0313 [0.011; 0.046]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0.34 [−0.10; 0.67]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Linear diffusion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 [0.009; 0.029]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0.0317 [0.012; 0.049]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0.72 [0.40; 0.91]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Naive mean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0.0208 [0.013; 0.031]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0.0324 [0.014; 0.047]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(constant)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Pairwise MAE differences (first minus second) with 95% paired-bootstrap CIs and two-sided permutation p. All six pairs cross zero.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Predicted vs. observed per model, N=27; the dashed line is perfect agreement.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the trajectory axes separate the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Neither Leontief nor the naive mean produces trajectories; linear diffusion gives a curve with no recovery. Only GEDS produces the full “peak → decay → recovery” shape — and on these axes the result is significant (Table 2). Recovery-duration ranking (0.88) is the strongest result; both timing CIs exclude zero. The magnitude axis at n=5 is statistically empty and is stated only as a limitation.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node-level trajectory-shape axes (the only axes that only GEDS produces).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Axis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Node peak magnitude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0.60 [−1.00; 1.00] — not claimed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peak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0.69 [0.20; 0.87]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7.1 wk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90% recovery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0.88 [0.56; 0.99]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8.5 wk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Robustness to single points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leave-one-out test (drop each event and recompute Spearman) refutes the concern that a correlation rests on one point: for weeks-to-peak the full estimate is 0.691, LOO range [0.619; 0.790]; for recovery the full estimate is 0.883, LOO range [0.843; 0.917]. No single event drops the correlation below 0.62 and 0.84 respectively.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Mechanistic finding: why timing was at chance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Before this work weeks-to-peak scored Spearman 0.07 [−0.43; +0.53] — chance level. Forensics localized the cause: all three implemented forcing shapes (step, linear, exp) peak at onset, and the ratchet state update renders a declining forcing as a rectangular pulse — 12 of 15 predicted peaks fell on week 0. The engine lacked a “slowly rising shock” shape, which droughts, congestion and demand collapses require.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fix: a ramp shape (linear rise) was added and four events were moved to it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by real-world mechanism, declared before running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The pre-registered four-criterion gate passed: weeks-to-peak Spearman 0.07 → 0.69; other axes drop 0.00; benchmark cost +0.0001 MAE; untouched events bit-identical (Figure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Weeks to peak: predicted vs. observed before (open) and after (filled) adopting the ramp shape; Spearman 0.07 → 0.69.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Out-of-sample check and power analysis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27-fold LOO with per-fold DE recalibration: MAE 0.0192, RMSE 0.0422, Pearson 0.25, Spearman 0.56, R² −0.70. Paired vs. Leontief: ΔMAE +0.0024 [−0.0073; +0.0167], p=0.89 — parity holds out-of-sample too. Two systematic misses are stated honestly: Chi-Chi 1999 (0.19 vs. 0.005 — the source node does not heal within the horizon) and the 2008–09 crisis (0.051 vs. 0.130 — a demand collapse is structurally unlike the supply cascades the engine models).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Parity is a power limit, not a proven equivalence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(Table 3). At N=27 the minimum detectable effect for GEDS/Leontief is 0.0184, whereas the observed differences ~0.004–0.007 lie below resolution. Resolving the observed difference would require ≈166 events. This turns the null into a bounded, actionable statement and a target for the dataset.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Power analysis: minimum detectable effect at N=27 and the N required for the observed difference.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Pair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obs.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at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to detect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Leontief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linear diffusion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 vs naive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network completeness, not tuning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Same engine, same shocks — only the graph changes (Table 4). The dense graph closes exactly the gaps the hand-built one could not express (the Renesas-fire cascade into foreign automotive: 0/4 → 3/4). Onset order on reached nodes ranks well (Spearman 0.79). No parameter changed: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binding constraint is network completeness, not the fineness of the dynamics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(Figure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reach: hand-built graph v2 vs. the ICIO graph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Graph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Nodes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Spatial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hand-built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 per event: share of historically-hit nodes reached on the hand-built graph v2 (open) and the ICIO graph v3 (filled).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Component ablation: what of the complex model actually works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standard question of a multi-component model is which parts carry weight. A component ablation (N=27, each component disabled in turn — Table 5) gives an uncomfortable but honest answer. Two components — the SEIS state machine and adaptive rerouting — contribute exactly zero on this set; the only component whose removal </w:t>
      </w:r>
      <w:r>
        <w:rPr>
          <w:rFonts w:ascii="Palatino Linotype" w:cs="Palatino Linotype" w:eastAsia="Palatino Linotype" w:hAnsi="Palatino Linotype"/>
          <w:i/>
          <w:iCs/>
          <w:sz w:val="19"/>
          <w:szCs w:val="19"/>
        </w:rPr>
        <w:t xml:space="preserve">hurts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is the bullwhip effect (+0.0023). Removing the R-state floor improves in-sample error (−0.0074), but that removal already failed the pre-registered out-of-sample gate (§5.3) and is rejected. Conclusion: at N=27 the engine's complexity largely does not pay off on the magnitude axis — consistent with §6.1 and pointing to growing N and the trajectory axes rather than adding mechanisms.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Component ablation of the engine (N=27): each component's contribution to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Variant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vs. full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Full engine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(no state machine)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−adaptive rerouting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−R-state floor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+per-node recovery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pure linear diffusion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Parameter sensitivity and identifiability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 variance-based Sobol sensitivity analysis (1536 engine runs, output mean_industry_loss_MAE, N=27 — Table 6) asks whether the five parameters are identifiable. Two parameters carry the output variance — recovery_rate (ST 0.62) and inventory_scale (ST 0.59) — and their low first-order indices (S1 0.39 and 0.42) against high total effects signal strong interaction between them (ST sum ≈ 1.30 ≫ 1); two parameters are negligible and can be fixed, and one is minor. Thus three of five parameters are effectively non-identifiable individually, with the fitting freedom concentrated in a strongly-coupled (recovery_rate, inventory_scale) pair. This independently corroborates §6.6 (the model is over-complex relative to what the N=27 data can constrain) and explains why per-fold recalibration (§6.4) so easily masks structural edits. (MCMC at 350 steps did not converge, r̂=2.03; Bayesian intervals are left to a longer future run.)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Sobol sensitivity indices (N=27): total effect ST and first-order S1 for the five parameters.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Parameter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Reading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variance + interactions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variance + interactions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minor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Discussion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Three results combine into one conclusion. (1) On the axis almost every paper reports — point magnitude — four fundamentally different models are statistically indistinguishable, and this is not an artifact of weak tuning: the parity survives per-fold recalibration and is quantitatively power-limited. (2) The axes that do separate the models are temporal and spatial: where only a full dynamic model can even compete, its results are significant (0.69 and 0.88). (3) The largest measured quality gain came not from dynamics but from network-structure data (recall 0.29 → 0.79, free in parameters).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Practical takeaway: cascade models should be validated by “predict the pattern, not one number,” or leaderboards compare noise. Methodological takeaway: pre-registering gates turns negative results into publishable assets.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Limitations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Track A and n=5/15/11 for Track B — power is limited; absence of significance is not equivalence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node-magnitude axis is empty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CI [−1; 1]): monthly fab-output indices are seldom published.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Two structural misses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(Chi-Chi, the 2008–09 crisis) are described but not solved; three fix attempts were rejected by the out-of-sample gate.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 are canonical rather than published implementations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comparison against published cascade models [11,12] is the next step.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Graph completeness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omits several real producers; v3 (405 nodes) is not yet calibrated on magnitudes.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Reproducibility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engine configuration is pinned (fixed seeds, stochasticity off); results are frozen by golden tests, and any numeric change is an explicit diff in the same commit. The statistical layer is deterministic (seed 20260718). The headline-numbers document and all figures are generated by scripts from artifacts; each figure ships with its numeric table. 157 automated tests. Exact commands are in Appendix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Conclusion and Future Work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benchmark and three-axis validation give a way to tell cascade models apart in a statistically honest manner. Next: grow N via chokepoint events (IMF PortWatch transit data sidesteps the aggregate-dilution problem); calibrate magnitudes on the 405-node ICIO graph; a demand-side mechanism for 2008–09-type events; and releasing the benchmark as an open standard for third-party models.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Back matter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Data and code availability.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All data, engine code, validation scripts and artifacts are open in the project repository; every calibration target carries a primary source. Numbers reproduce via the Appendix B commands.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Author contributions.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[Complete per CRediT: conceptualization, methodology, software, validation, formal analysis, writing — original draft / review &amp; editing, visualization.]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Funding.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[This research received no external funding / state the grant.]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Institutional review.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Not applicable (no human or animal subjects; only aggregate open economic data).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Conflicts of interest.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author(s) declare no conflict of interest.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References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A. Full event benchmark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Generated from seed_data.py; per-event primary sources are line-by-line in historical_events.csv. “Magn.” is the source-side shock magnitude (model input), “Target” is the observed loss (validation output).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Event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Magn.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Dur.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B. Reproducibility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All numbers in the paper regenerate from the repository: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figures + CSVs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ablation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Sobol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tests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three-axis validation (preprint)</dc:title>
  <dc:creator>GEDS</dc:creator>
  <cp:lastModifiedBy>Un-named</cp:lastModifiedBy>
  <cp:revision>1</cp:revision>
  <dcterms:created xsi:type="dcterms:W3CDTF">2026-07-26T08:44:12.771Z</dcterms:created>
  <dcterms:modified xsi:type="dcterms:W3CDTF">2026-07-26T08:44:12.772Z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