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Palatino Linotype" w:cs="Palatino Linotype" w:eastAsia="Palatino Linotype" w:hAnsi="Palatino Linotype"/>
          <w:b/>
          <w:bCs/>
          <w:color w:val="0E7C3A"/>
          <w:sz w:val="24"/>
          <w:szCs w:val="24"/>
        </w:rPr>
        <w:t xml:space="preserve">Article</w:t>
      </w:r>
    </w:p>
    <w:p>
      <w:pPr>
        <w:spacing w:after="120"/>
      </w:pPr>
      <w:r>
        <w:rPr>
          <w:rFonts w:ascii="Palatino Linotype" w:cs="Palatino Linotype" w:eastAsia="Palatino Linotype" w:hAnsi="Palatino Linotype"/>
          <w:b/>
          <w:bCs/>
          <w:color w:val="1A1A1A"/>
          <w:sz w:val="32"/>
          <w:szCs w:val="32"/>
        </w:rPr>
        <w:t xml:space="preserve">Can a Single Number Tell a Good Cascade Model from a Naive One? A Three-Axis Validation of a Global Supply-Chain Disruption Simulator on 27 Primary-Sourced Historical Events</w:t>
      </w:r>
    </w:p>
    <w:p>
      <w:pPr>
        <w:spacing w:after="40"/>
      </w:pPr>
      <w:r>
        <w:rPr>
          <w:rFonts w:ascii="Palatino Linotype" w:cs="Palatino Linotype" w:eastAsia="Palatino Linotype" w:hAnsi="Palatino Linotype"/>
          <w:sz w:val="22"/>
          <w:szCs w:val="22"/>
        </w:rPr>
        <w:t xml:space="preserve">Yerzat Mametayev</w:t>
      </w:r>
      <w:r>
        <w:rPr>
          <w:rFonts w:ascii="Palatino Linotype" w:cs="Palatino Linotype" w:eastAsia="Palatino Linotype" w:hAnsi="Palatino Linotype"/>
          <w:sz w:val="22"/>
          <w:szCs w:val="22"/>
          <w:vertAlign w:val="superscript"/>
        </w:rPr>
        <w:t xml:space="preserve"> 1,*</w:t>
      </w:r>
    </w:p>
    <w:p>
      <w:pPr>
        <w:spacing w:after="20"/>
      </w:pPr>
      <w:r>
        <w:rPr>
          <w:rFonts w:ascii="Palatino Linotype" w:cs="Palatino Linotype" w:eastAsia="Palatino Linotype" w:hAnsi="Palatino Linotype"/>
          <w:sz w:val="16"/>
          <w:szCs w:val="16"/>
          <w:vertAlign w:val="superscript"/>
        </w:rPr>
        <w:t xml:space="preserve">1</w:t>
      </w:r>
      <w:r>
        <w:rPr>
          <w:rFonts w:ascii="Palatino Linotype" w:cs="Palatino Linotype" w:eastAsia="Palatino Linotype" w:hAnsi="Palatino Linotype"/>
          <w:color w:val="595959"/>
          <w:sz w:val="16"/>
          <w:szCs w:val="16"/>
        </w:rPr>
        <w:t xml:space="preserve">  Nazarbayev Intellectual School of Physics and Mathematics in Semey, Semey, Kazakhstan</w:t>
      </w:r>
    </w:p>
    <w:p>
      <w:pPr>
        <w:spacing w:after="120"/>
      </w:pPr>
      <w:r>
        <w:rPr>
          <w:rFonts w:ascii="Palatino Linotype" w:cs="Palatino Linotype" w:eastAsia="Palatino Linotype" w:hAnsi="Palatino Linotype"/>
          <w:sz w:val="16"/>
          <w:szCs w:val="16"/>
          <w:vertAlign w:val="superscript"/>
        </w:rPr>
        <w:t xml:space="preserve">*</w:t>
      </w:r>
      <w:r>
        <w:rPr>
          <w:rFonts w:ascii="Palatino Linotype" w:cs="Palatino Linotype" w:eastAsia="Palatino Linotype" w:hAnsi="Palatino Linotype"/>
          <w:color w:val="595959"/>
          <w:sz w:val="16"/>
          <w:szCs w:val="16"/>
        </w:rPr>
        <w:t xml:space="preserve">  Correspondence: mametaeverzat014@gmail.com</w:t>
      </w:r>
    </w:p>
    <w:tbl>
      <w:tblPr>
        <w:tblW w:type="dxa" w:w="9638"/>
        <w:tblBorders>
          <w:top w:val="single" w:color="D7E2DB" w:sz="4"/>
          <w:left w:val="single" w:color="D7E2DB" w:sz="4"/>
          <w:bottom w:val="single" w:color="D7E2DB" w:sz="4"/>
          <w:right w:val="single" w:color="D7E2DB" w:sz="4"/>
          <w:insideH w:val="none" w:color="FFFFFF" w:sz="0"/>
          <w:insideV w:val="none" w:color="FFFFFF" w:sz="0"/>
        </w:tblBorders>
      </w:tblPr>
      <w:tblGrid>
        <w:gridCol w:w="9638"/>
      </w:tblGrid>
      <w:tr>
        <w:tc>
          <w:tcPr>
            <w:tcW w:type="dxa" w:w="9638"/>
            <w:shd w:fill="F5F7F6" w:val="clear"/>
            <w:tcMar>
              <w:top w:type="dxa" w:w="100"/>
              <w:left w:type="dxa" w:w="140"/>
              <w:bottom w:type="dxa" w:w="100"/>
              <w:right w:type="dxa" w:w="140"/>
            </w:tcMar>
          </w:tcPr>
          <w:p>
            <w:pPr>
              <w:spacing w:line="220"/>
              <w:jc w:val="both"/>
            </w:pPr>
            <w:r>
              <w:rPr>
                <w:rFonts w:ascii="Palatino Linotype" w:cs="Palatino Linotype" w:eastAsia="Palatino Linotype" w:hAnsi="Palatino Linotype"/>
                <w:b/>
                <w:bCs/>
                <w:sz w:val="18"/>
                <w:szCs w:val="18"/>
              </w:rPr>
              <w:t xml:space="preserve">Abstract: </w:t>
            </w:r>
            <w:r>
              <w:rPr>
                <w:rFonts w:ascii="Palatino Linotype" w:cs="Palatino Linotype" w:eastAsia="Palatino Linotype" w:hAnsi="Palatino Linotype"/>
                <w:sz w:val="18"/>
                <w:szCs w:val="18"/>
              </w:rPr>
              <w:t xml:space="preserve">Global supply-chain disruptions — earthquakes, floods, canal blockages, financial crises — cascade across industries and countries, yet published simulation models are typically validated on one or two events and a single error metric. This work asks whether such validation can distinguish a substantive model from a naive baseline at all, and builds the infrastructure to answer it. We assemble a benchmark of 27 historical events (1999–2023, ten categories), each calibrated from primary sources under a written source-tier protocol, and a three-axis validation system scoring (1) global loss magnitude, (2) node-level cascade shape (peak, timing, recovery), and (3) spatial reach. Four models are tested: a novel SEIRS-bullwhip-hysteresis simulator (GEDS), a Leontief input–output model, linear network diffusion, and a naive mean predictor. On point magnitude no model significantly outperforms any other (all six pairwise permutation tests p ≥ 0.09 at N=27), and the result survives leave-one-out per-fold recalibration (p = 0.89): single-number validation cannot separate these models. A power analysis shows that at N=27 the minimum detectable effect (0.018 MAE) exceeds the real inter-model differences (~0.007), so the parity is resolution-limited rather than proven. Trajectory validation does separate the models: GEDS, the only model producing full trajectories, ranks recovery durations at Spearman 0.88 (95% CI 0.56–0.99) and peak timing at 0.69 (0.20–0.87). Replacing the hand-built 12-country graph with the 405-node OECD ICIO graph raises spatial reach from 0.29 to 0.79 with no parameter tuning. All results are deterministic, locked by golden tests, and reproducible from an open repository.</w:t>
            </w:r>
          </w:p>
        </w:tc>
      </w:tr>
    </w:tbl>
    <w:p>
      <w:pPr>
        <w:spacing w:after="60" w:before="80"/>
        <w:jc w:val="both"/>
      </w:pPr>
      <w:r>
        <w:rPr>
          <w:rFonts w:ascii="Palatino Linotype" w:cs="Palatino Linotype" w:eastAsia="Palatino Linotype" w:hAnsi="Palatino Linotype"/>
          <w:b/>
          <w:bCs/>
          <w:sz w:val="18"/>
          <w:szCs w:val="18"/>
        </w:rPr>
        <w:t xml:space="preserve">Keywords: </w:t>
      </w:r>
      <w:r>
        <w:rPr>
          <w:rFonts w:ascii="Palatino Linotype" w:cs="Palatino Linotype" w:eastAsia="Palatino Linotype" w:hAnsi="Palatino Linotype"/>
          <w:sz w:val="18"/>
          <w:szCs w:val="18"/>
        </w:rPr>
        <w:t xml:space="preserve">supply chains; shock propagation; model validation; SEIRS; bootstrap; permutation test; power analysis; OECD ICIO; cascade benchmark</w:t>
      </w:r>
    </w:p>
    <w:tbl>
      <w:tblPr>
        <w:tblW w:type="dxa" w:w="9638"/>
        <w:tblBorders>
          <w:top w:val="none" w:color="FFFFFF" w:sz="0"/>
          <w:left w:val="single" w:color="0E7C3A" w:sz="18"/>
          <w:bottom w:val="none" w:color="FFFFFF" w:sz="0"/>
          <w:right w:val="none" w:color="FFFFFF" w:sz="0"/>
          <w:insideH w:val="none" w:color="FFFFFF" w:sz="0"/>
          <w:insideV w:val="none" w:color="FFFFFF" w:sz="0"/>
        </w:tblBorders>
      </w:tblPr>
      <w:tblGrid>
        <w:gridCol w:w="9638"/>
      </w:tblGrid>
      <w:tr>
        <w:tc>
          <w:tcPr>
            <w:tcW w:type="dxa" w:w="9638"/>
            <w:tcMar>
              <w:top w:type="dxa" w:w="60"/>
              <w:left w:type="dxa" w:w="160"/>
              <w:bottom w:type="dxa" w:w="60"/>
              <w:right w:type="dxa" w:w="60"/>
            </w:tcMar>
          </w:tcPr>
          <w:p>
            <w:pPr>
              <w:spacing w:after="40"/>
            </w:pPr>
            <w:r>
              <w:rPr>
                <w:rFonts w:ascii="Palatino Linotype" w:cs="Palatino Linotype" w:eastAsia="Palatino Linotype" w:hAnsi="Palatino Linotype"/>
                <w:b/>
                <w:bCs/>
                <w:color w:val="0E7C3A"/>
                <w:sz w:val="17"/>
                <w:szCs w:val="17"/>
              </w:rPr>
              <w:t xml:space="preserve">Highlights</w:t>
            </w:r>
          </w:p>
          <w:p>
            <w:pPr>
              <w:spacing w:after="20" w:line="220"/>
              <w:ind w:left="200" w:hanging="160"/>
            </w:pPr>
            <w:r>
              <w:rPr>
                <w:rFonts w:ascii="Palatino Linotype" w:cs="Palatino Linotype" w:eastAsia="Palatino Linotype" w:hAnsi="Palatino Linotype"/>
                <w:sz w:val="16"/>
                <w:szCs w:val="16"/>
              </w:rPr>
              <w:t xml:space="preserve">•  Single-number validation cannot rank four supply-chain cascade models at N=27 (all pairwise p ≥ 0.09).</w:t>
            </w:r>
          </w:p>
          <w:p>
            <w:pPr>
              <w:spacing w:after="20" w:line="220"/>
              <w:ind w:left="200" w:hanging="160"/>
            </w:pPr>
            <w:r>
              <w:rPr>
                <w:rFonts w:ascii="Palatino Linotype" w:cs="Palatino Linotype" w:eastAsia="Palatino Linotype" w:hAnsi="Palatino Linotype"/>
                <w:sz w:val="16"/>
                <w:szCs w:val="16"/>
              </w:rPr>
              <w:t xml:space="preserve">•  The null is quantified, not assumed: minimum detectable effect 0.018 MAE vs. real gaps ~0.007; ~166 events needed to resolve.</w:t>
            </w:r>
          </w:p>
          <w:p>
            <w:pPr>
              <w:spacing w:after="20" w:line="220"/>
              <w:ind w:left="200" w:hanging="160"/>
            </w:pPr>
            <w:r>
              <w:rPr>
                <w:rFonts w:ascii="Palatino Linotype" w:cs="Palatino Linotype" w:eastAsia="Palatino Linotype" w:hAnsi="Palatino Linotype"/>
                <w:sz w:val="16"/>
                <w:szCs w:val="16"/>
              </w:rPr>
              <w:t xml:space="preserve">•  Trajectory validation separates the models: recovery-duration ranking Spearman 0.88 (95% CI 0.56–0.99).</w:t>
            </w:r>
          </w:p>
          <w:p>
            <w:pPr>
              <w:spacing w:after="20" w:line="220"/>
              <w:ind w:left="200" w:hanging="160"/>
            </w:pPr>
            <w:r>
              <w:rPr>
                <w:rFonts w:ascii="Palatino Linotype" w:cs="Palatino Linotype" w:eastAsia="Palatino Linotype" w:hAnsi="Palatino Linotype"/>
                <w:sz w:val="16"/>
                <w:szCs w:val="16"/>
              </w:rPr>
              <w:t xml:space="preserve">•  Grounding the graph in OECD ICIO data lifts spatial reach 0.29 → 0.79 with zero parameter tuning.</w:t>
            </w:r>
          </w:p>
        </w:tc>
      </w:tr>
    </w:tbl>
    <w:p>
      <w:pPr>
        <w:pBdr>
          <w:left w:val="single" w:color="0E7C3A" w:sz="18" w:space="10"/>
        </w:pBdr>
        <w:spacing w:after="100" w:before="40"/>
        <w:ind w:left="160"/>
      </w:pPr>
      <w:r>
        <w:rPr>
          <w:rFonts w:ascii="Palatino Linotype" w:cs="Palatino Linotype" w:eastAsia="Palatino Linotype" w:hAnsi="Palatino Linotype"/>
          <w:color w:val="595959"/>
          <w:sz w:val="15"/>
          <w:szCs w:val="15"/>
        </w:rPr>
        <w:t xml:space="preserve">Type: working preprint (ISEF project).  </w:t>
      </w:r>
      <w:r>
        <w:rPr>
          <w:rFonts w:ascii="Palatino Linotype" w:cs="Palatino Linotype" w:eastAsia="Palatino Linotype" w:hAnsi="Palatino Linotype"/>
          <w:color w:val="595959"/>
          <w:sz w:val="15"/>
          <w:szCs w:val="15"/>
        </w:rPr>
        <w:t xml:space="preserve">Received / Accepted / Published: —.  </w:t>
      </w:r>
      <w:r>
        <w:rPr>
          <w:rFonts w:ascii="Palatino Linotype" w:cs="Palatino Linotype" w:eastAsia="Palatino Linotype" w:hAnsi="Palatino Linotype"/>
          <w:color w:val="595959"/>
          <w:sz w:val="15"/>
          <w:szCs w:val="15"/>
        </w:rPr>
        <w:t xml:space="preserve">Copyright: © 2026 the author(s). CC BY 4.0.  </w:t>
      </w:r>
      <w:r>
        <w:rPr>
          <w:rFonts w:ascii="Palatino Linotype" w:cs="Palatino Linotype" w:eastAsia="Palatino Linotype" w:hAnsi="Palatino Linotype"/>
          <w:color w:val="595959"/>
          <w:sz w:val="15"/>
          <w:szCs w:val="15"/>
        </w:rPr>
        <w:t xml:space="preserve">All numbers are generated from repository artifacts and reproducible under fixed seeds.</w:t>
      </w:r>
    </w:p>
    <w:p>
      <w:pPr>
        <w:sectPr>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1. Introduction</w:t>
      </w:r>
    </w:p>
    <w:p>
      <w:pPr>
        <w:keepNext/>
        <w:spacing w:after="50" w:before="140"/>
      </w:pPr>
      <w:r>
        <w:rPr>
          <w:rFonts w:ascii="Palatino Linotype" w:cs="Palatino Linotype" w:eastAsia="Palatino Linotype" w:hAnsi="Palatino Linotype"/>
          <w:b/>
          <w:bCs/>
          <w:i/>
          <w:iCs/>
          <w:color w:val="1A1A1A"/>
          <w:sz w:val="19"/>
          <w:szCs w:val="19"/>
        </w:rPr>
        <w:t xml:space="preserve">1.1. Motivation</w:t>
      </w:r>
    </w:p>
    <w:p>
      <w:pPr>
        <w:spacing w:after="20" w:line="240"/>
        <w:ind w:firstLine="220"/>
        <w:jc w:val="both"/>
      </w:pPr>
      <w:r>
        <w:rPr>
          <w:rFonts w:ascii="Palatino Linotype" w:cs="Palatino Linotype" w:eastAsia="Palatino Linotype" w:hAnsi="Palatino Linotype"/>
          <w:sz w:val="19"/>
          <w:szCs w:val="19"/>
        </w:rPr>
        <w:t xml:space="preserve">The 2021 blockage of the Suez Canal by the container ship Ever Given halted roughly 12% of world trade for six days; the 2011 Thai floods cut national vehicle output by 87.5% at their monthly peak; the 2020–2021 chip shortage cost the global auto industry 9.5 million unbuilt vehicles. Policymakers and firms need models that predict how a local shock will propagate across the global production network. The literature offers dozens of such models — yet almost every one is validated on one or two events, most often against a single scalar.</w:t>
      </w:r>
    </w:p>
    <w:p>
      <w:pPr>
        <w:spacing w:after="20" w:line="240"/>
        <w:ind w:firstLine="220"/>
        <w:jc w:val="both"/>
      </w:pPr>
      <w:r>
        <w:rPr>
          <w:rFonts w:ascii="Palatino Linotype" w:cs="Palatino Linotype" w:eastAsia="Palatino Linotype" w:hAnsi="Palatino Linotype"/>
          <w:sz w:val="19"/>
          <w:szCs w:val="19"/>
        </w:rPr>
        <w:t xml:space="preserve">This work began as building yet another model. It ended with a different conclusion: the standard way of validating such models cannot tell a complex model from a naive one, and so a validation instrument that can was built instead.</w:t>
      </w:r>
    </w:p>
    <w:p>
      <w:pPr>
        <w:keepNext/>
        <w:spacing w:after="50" w:before="140"/>
      </w:pPr>
      <w:r>
        <w:rPr>
          <w:rFonts w:ascii="Palatino Linotype" w:cs="Palatino Linotype" w:eastAsia="Palatino Linotype" w:hAnsi="Palatino Linotype"/>
          <w:b/>
          <w:bCs/>
          <w:i/>
          <w:iCs/>
          <w:color w:val="1A1A1A"/>
          <w:sz w:val="19"/>
          <w:szCs w:val="19"/>
        </w:rPr>
        <w:t xml:space="preserve">1.2. Research question</w:t>
      </w:r>
    </w:p>
    <w:p>
      <w:pPr>
        <w:spacing w:after="20" w:line="240"/>
        <w:ind w:firstLine="220"/>
        <w:jc w:val="both"/>
      </w:pPr>
      <w:r>
        <w:rPr>
          <w:rFonts w:ascii="Palatino Linotype" w:cs="Palatino Linotype" w:eastAsia="Palatino Linotype" w:hAnsi="Palatino Linotype"/>
          <w:b/>
          <w:bCs/>
          <w:sz w:val="19"/>
          <w:szCs w:val="19"/>
        </w:rPr>
        <w:t xml:space="preserve">Can single-number validation (peak loss magnitude) distinguish a substantive shock-propagation model from trivial baselines — and if not, which validation axes do separate the models?</w:t>
      </w:r>
    </w:p>
    <w:p>
      <w:pPr>
        <w:keepNext/>
        <w:spacing w:after="50" w:before="140"/>
      </w:pPr>
      <w:r>
        <w:rPr>
          <w:rFonts w:ascii="Palatino Linotype" w:cs="Palatino Linotype" w:eastAsia="Palatino Linotype" w:hAnsi="Palatino Linotype"/>
          <w:b/>
          <w:bCs/>
          <w:i/>
          <w:iCs/>
          <w:color w:val="1A1A1A"/>
          <w:sz w:val="19"/>
          <w:szCs w:val="19"/>
        </w:rPr>
        <w:t xml:space="preserve">1.3. Contributions</w:t>
      </w:r>
    </w:p>
    <w:p>
      <w:pPr>
        <w:spacing w:after="20" w:line="240"/>
        <w:ind w:left="300" w:hanging="300"/>
        <w:jc w:val="both"/>
      </w:pPr>
      <w:r>
        <w:rPr>
          <w:rFonts w:ascii="Palatino Linotype" w:cs="Palatino Linotype" w:eastAsia="Palatino Linotype" w:hAnsi="Palatino Linotype"/>
          <w:sz w:val="19"/>
          <w:szCs w:val="19"/>
        </w:rPr>
        <w:t xml:space="preserve">1. </w:t>
      </w:r>
      <w:r>
        <w:rPr>
          <w:rFonts w:ascii="Palatino Linotype" w:cs="Palatino Linotype" w:eastAsia="Palatino Linotype" w:hAnsi="Palatino Linotype"/>
          <w:b/>
          <w:bCs/>
          <w:sz w:val="19"/>
          <w:szCs w:val="19"/>
        </w:rPr>
        <w:t xml:space="preserve">Benchmark</w:t>
      </w:r>
      <w:r>
        <w:rPr>
          <w:rFonts w:ascii="Palatino Linotype" w:cs="Palatino Linotype" w:eastAsia="Palatino Linotype" w:hAnsi="Palatino Linotype"/>
          <w:sz w:val="19"/>
          <w:szCs w:val="19"/>
        </w:rPr>
        <w:t xml:space="preserve">: 27 historical disruption events (1999–2023) with calibration targets from primary sources under a written source-tier protocol, plus a library of 17+ documented near-misses as a negative control.</w:t>
      </w:r>
    </w:p>
    <w:p>
      <w:pPr>
        <w:spacing w:after="20" w:line="240"/>
        <w:ind w:left="300" w:hanging="300"/>
        <w:jc w:val="both"/>
      </w:pPr>
      <w:r>
        <w:rPr>
          <w:rFonts w:ascii="Palatino Linotype" w:cs="Palatino Linotype" w:eastAsia="Palatino Linotype" w:hAnsi="Palatino Linotype"/>
          <w:sz w:val="19"/>
          <w:szCs w:val="19"/>
        </w:rPr>
        <w:t xml:space="preserve">2. </w:t>
      </w:r>
      <w:r>
        <w:rPr>
          <w:rFonts w:ascii="Palatino Linotype" w:cs="Palatino Linotype" w:eastAsia="Palatino Linotype" w:hAnsi="Palatino Linotype"/>
          <w:b/>
          <w:bCs/>
          <w:sz w:val="19"/>
          <w:szCs w:val="19"/>
        </w:rPr>
        <w:t xml:space="preserve">Three-axis validation system</w:t>
      </w:r>
      <w:r>
        <w:rPr>
          <w:rFonts w:ascii="Palatino Linotype" w:cs="Palatino Linotype" w:eastAsia="Palatino Linotype" w:hAnsi="Palatino Linotype"/>
          <w:sz w:val="19"/>
          <w:szCs w:val="19"/>
        </w:rPr>
        <w:t xml:space="preserve">: global magnitude (Track A), shocked-node trajectory shape (Track B), spatial reach and onset order.</w:t>
      </w:r>
    </w:p>
    <w:p>
      <w:pPr>
        <w:spacing w:after="20" w:line="240"/>
        <w:ind w:left="300" w:hanging="300"/>
        <w:jc w:val="both"/>
      </w:pPr>
      <w:r>
        <w:rPr>
          <w:rFonts w:ascii="Palatino Linotype" w:cs="Palatino Linotype" w:eastAsia="Palatino Linotype" w:hAnsi="Palatino Linotype"/>
          <w:sz w:val="19"/>
          <w:szCs w:val="19"/>
        </w:rPr>
        <w:t xml:space="preserve">3. </w:t>
      </w:r>
      <w:r>
        <w:rPr>
          <w:rFonts w:ascii="Palatino Linotype" w:cs="Palatino Linotype" w:eastAsia="Palatino Linotype" w:hAnsi="Palatino Linotype"/>
          <w:b/>
          <w:bCs/>
          <w:sz w:val="19"/>
          <w:szCs w:val="19"/>
        </w:rPr>
        <w:t xml:space="preserve">Statistical layer</w:t>
      </w:r>
      <w:r>
        <w:rPr>
          <w:rFonts w:ascii="Palatino Linotype" w:cs="Palatino Linotype" w:eastAsia="Palatino Linotype" w:hAnsi="Palatino Linotype"/>
          <w:sz w:val="19"/>
          <w:szCs w:val="19"/>
        </w:rPr>
        <w:t xml:space="preserve">: event-level bootstrap, paired bootstrap with shared indices, sign-flip permutation tests, and a power analysis — every “better/worse” comes with a confidence interval and a p-value.</w:t>
      </w:r>
    </w:p>
    <w:p>
      <w:pPr>
        <w:spacing w:after="20" w:line="240"/>
        <w:ind w:left="300" w:hanging="300"/>
        <w:jc w:val="both"/>
      </w:pPr>
      <w:r>
        <w:rPr>
          <w:rFonts w:ascii="Palatino Linotype" w:cs="Palatino Linotype" w:eastAsia="Palatino Linotype" w:hAnsi="Palatino Linotype"/>
          <w:sz w:val="19"/>
          <w:szCs w:val="19"/>
        </w:rPr>
        <w:t xml:space="preserve">4. </w:t>
      </w:r>
      <w:r>
        <w:rPr>
          <w:rFonts w:ascii="Palatino Linotype" w:cs="Palatino Linotype" w:eastAsia="Palatino Linotype" w:hAnsi="Palatino Linotype"/>
          <w:b/>
          <w:bCs/>
          <w:sz w:val="19"/>
          <w:szCs w:val="19"/>
        </w:rPr>
        <w:t xml:space="preserve">An honest headline result</w:t>
      </w:r>
      <w:r>
        <w:rPr>
          <w:rFonts w:ascii="Palatino Linotype" w:cs="Palatino Linotype" w:eastAsia="Palatino Linotype" w:hAnsi="Palatino Linotype"/>
          <w:sz w:val="19"/>
          <w:szCs w:val="19"/>
        </w:rPr>
        <w:t xml:space="preserve">: magnitude parity of all four models at N=27 (in- and out-of-sample, and this is a power limit, not equivalence) and significant separation on the trajectory axes, where only GEDS competes.</w:t>
      </w:r>
    </w:p>
    <w:p>
      <w:pPr>
        <w:spacing w:after="20" w:line="240"/>
        <w:ind w:left="300" w:hanging="300"/>
        <w:jc w:val="both"/>
      </w:pPr>
      <w:r>
        <w:rPr>
          <w:rFonts w:ascii="Palatino Linotype" w:cs="Palatino Linotype" w:eastAsia="Palatino Linotype" w:hAnsi="Palatino Linotype"/>
          <w:sz w:val="19"/>
          <w:szCs w:val="19"/>
        </w:rPr>
        <w:t xml:space="preserve">5. </w:t>
      </w:r>
      <w:r>
        <w:rPr>
          <w:rFonts w:ascii="Palatino Linotype" w:cs="Palatino Linotype" w:eastAsia="Palatino Linotype" w:hAnsi="Palatino Linotype"/>
          <w:b/>
          <w:bCs/>
          <w:sz w:val="19"/>
          <w:szCs w:val="19"/>
        </w:rPr>
        <w:t xml:space="preserve">A mechanistic finding</w:t>
      </w:r>
      <w:r>
        <w:rPr>
          <w:rFonts w:ascii="Palatino Linotype" w:cs="Palatino Linotype" w:eastAsia="Palatino Linotype" w:hAnsi="Palatino Linotype"/>
          <w:sz w:val="19"/>
          <w:szCs w:val="19"/>
        </w:rPr>
        <w:t xml:space="preserve">: peak timing was at chance because the engine lacked a rising forcing shape; the defect was localized and the fix adopted through a pre-registered gated experiment.</w:t>
      </w:r>
    </w:p>
    <w:p>
      <w:pPr>
        <w:keepNext/>
        <w:spacing w:after="70" w:before="200"/>
      </w:pPr>
      <w:r>
        <w:rPr>
          <w:rFonts w:ascii="Palatino Linotype" w:cs="Palatino Linotype" w:eastAsia="Palatino Linotype" w:hAnsi="Palatino Linotype"/>
          <w:b/>
          <w:bCs/>
          <w:color w:val="1A1A1A"/>
          <w:sz w:val="21"/>
          <w:szCs w:val="21"/>
        </w:rPr>
        <w:t xml:space="preserve">2. Related Work and Positioning</w:t>
      </w:r>
    </w:p>
    <w:p>
      <w:pPr>
        <w:spacing w:after="20" w:line="240"/>
        <w:ind w:firstLine="220"/>
        <w:jc w:val="both"/>
      </w:pPr>
      <w:r>
        <w:rPr>
          <w:rFonts w:ascii="Palatino Linotype" w:cs="Palatino Linotype" w:eastAsia="Palatino Linotype" w:hAnsi="Palatino Linotype"/>
          <w:sz w:val="19"/>
          <w:szCs w:val="19"/>
        </w:rPr>
        <w:t xml:space="preserve">The work sits at the intersection of four literatures; full references are in the References section.</w:t>
      </w:r>
    </w:p>
    <w:p>
      <w:pPr>
        <w:spacing w:after="20" w:line="240"/>
        <w:ind w:firstLine="220"/>
        <w:jc w:val="both"/>
      </w:pPr>
      <w:r>
        <w:rPr>
          <w:rFonts w:ascii="Palatino Linotype" w:cs="Palatino Linotype" w:eastAsia="Palatino Linotype" w:hAnsi="Palatino Linotype"/>
          <w:b/>
          <w:bCs/>
          <w:sz w:val="19"/>
          <w:szCs w:val="19"/>
        </w:rPr>
        <w:t xml:space="preserve">Shock propagation in production networks.</w:t>
      </w:r>
      <w:r>
        <w:rPr>
          <w:rFonts w:ascii="Palatino Linotype" w:cs="Palatino Linotype" w:eastAsia="Palatino Linotype" w:hAnsi="Palatino Linotype"/>
          <w:sz w:val="19"/>
          <w:szCs w:val="19"/>
        </w:rPr>
        <w:t xml:space="preserve"> The theoretical foundation was laid by Acemoglu et al. [1] on the network origins of aggregate fluctuations, with continuations on micro-origins and distortions (Acemoglu et al. [2]; Baqaee [3]; Bigio &amp; La'O [4]). The empirical side was established by Carvalho et al. [5], who traced the Tōhoku earthquake cascade through real supplier chains, Barrot &amp; Sauvagnat [6] via input specificity, and Boehm et al. [7]. Granularity as a source of aggregate fluctuations: Gabaix [8], di Giovanni &amp; Levchenko [9], Oberfield et al. [10]. Our work adds no theory here — it uses this structure as a substrate and asks how well dynamic models on it predict real cascades.</w:t>
      </w:r>
    </w:p>
    <w:p>
      <w:pPr>
        <w:spacing w:after="20" w:line="240"/>
        <w:ind w:firstLine="220"/>
        <w:jc w:val="both"/>
      </w:pPr>
      <w:r>
        <w:rPr>
          <w:rFonts w:ascii="Palatino Linotype" w:cs="Palatino Linotype" w:eastAsia="Palatino Linotype" w:hAnsi="Palatino Linotype"/>
          <w:b/>
          <w:bCs/>
          <w:sz w:val="19"/>
          <w:szCs w:val="19"/>
        </w:rPr>
        <w:t xml:space="preserve">Simulation and agent-based models.</w:t>
      </w:r>
      <w:r>
        <w:rPr>
          <w:rFonts w:ascii="Palatino Linotype" w:cs="Palatino Linotype" w:eastAsia="Palatino Linotype" w:hAnsi="Palatino Linotype"/>
          <w:sz w:val="19"/>
          <w:szCs w:val="19"/>
        </w:rPr>
        <w:t xml:space="preserve"> Inoue &amp; Todo [11] built a firm-level agent-based model of supply-chain propagation; Otto et al. [12] (Acclimate) model climate shocks on international trade. These are typically validated on a single event class; our contribution is orthogonal — a comparative-validation system in which such models can be placed side by side on a common benchmark.</w:t>
      </w:r>
    </w:p>
    <w:p>
      <w:pPr>
        <w:spacing w:after="20" w:line="240"/>
        <w:ind w:firstLine="220"/>
        <w:jc w:val="both"/>
      </w:pPr>
      <w:r>
        <w:rPr>
          <w:rFonts w:ascii="Palatino Linotype" w:cs="Palatino Linotype" w:eastAsia="Palatino Linotype" w:hAnsi="Palatino Linotype"/>
          <w:b/>
          <w:bCs/>
          <w:sz w:val="19"/>
          <w:szCs w:val="19"/>
        </w:rPr>
        <w:t xml:space="preserve">Financial contagion.</w:t>
      </w:r>
      <w:r>
        <w:rPr>
          <w:rFonts w:ascii="Palatino Linotype" w:cs="Palatino Linotype" w:eastAsia="Palatino Linotype" w:hAnsi="Palatino Linotype"/>
          <w:sz w:val="19"/>
          <w:szCs w:val="19"/>
        </w:rPr>
        <w:t xml:space="preserve"> Network propagation is well studied in finance: Allen &amp; Gale [13], Gai &amp; Kapadia [14], Battiston et al. [15], Elliott et al. [16], Haldane &amp; May [17], Acemoglu et al. [20]. We borrow the threshold-cascade idea (a node enters “distress” when losses exceed an endogenous threshold) but apply it to production output.</w:t>
      </w:r>
    </w:p>
    <w:p>
      <w:pPr>
        <w:spacing w:after="20" w:line="240"/>
        <w:ind w:firstLine="220"/>
        <w:jc w:val="both"/>
      </w:pPr>
      <w:r>
        <w:rPr>
          <w:rFonts w:ascii="Palatino Linotype" w:cs="Palatino Linotype" w:eastAsia="Palatino Linotype" w:hAnsi="Palatino Linotype"/>
          <w:b/>
          <w:bCs/>
          <w:sz w:val="19"/>
          <w:szCs w:val="19"/>
        </w:rPr>
        <w:t xml:space="preserve">Epidemic dynamics and forecast validation.</w:t>
      </w:r>
      <w:r>
        <w:rPr>
          <w:rFonts w:ascii="Palatino Linotype" w:cs="Palatino Linotype" w:eastAsia="Palatino Linotype" w:hAnsi="Palatino Linotype"/>
          <w:sz w:val="19"/>
          <w:szCs w:val="19"/>
        </w:rPr>
        <w:t xml:space="preserve"> Transferring SEIR schemes to economics accelerated after COVID (Eichenbaum et al. [18]; Coquidé et al. [19]; Starnini et al. [21]). A separate relevant thread is comparative-validation methodology — forecasting competitions and temporal-graph benchmarks have repeatedly found simple methods indistinguishable from complex ones; our result reproduces this pattern in a new domain.</w:t>
      </w:r>
    </w:p>
    <w:p>
      <w:pPr>
        <w:spacing w:after="20" w:line="240"/>
        <w:ind w:firstLine="220"/>
        <w:jc w:val="both"/>
      </w:pPr>
      <w:r>
        <w:rPr>
          <w:rFonts w:ascii="Palatino Linotype" w:cs="Palatino Linotype" w:eastAsia="Palatino Linotype" w:hAnsi="Palatino Linotype"/>
          <w:b/>
          <w:bCs/>
          <w:sz w:val="19"/>
          <w:szCs w:val="19"/>
        </w:rPr>
        <w:t xml:space="preserve">Niche.</w:t>
      </w:r>
      <w:r>
        <w:rPr>
          <w:rFonts w:ascii="Palatino Linotype" w:cs="Palatino Linotype" w:eastAsia="Palatino Linotype" w:hAnsi="Palatino Linotype"/>
          <w:sz w:val="19"/>
          <w:szCs w:val="19"/>
        </w:rPr>
        <w:t xml:space="preserve"> To the best of our knowledge, no published work combines SEIRS dynamics, the bullwhip effect and hysteresis in one engine and, more importantly, validates a cascade model simultaneously on magnitude, trajectory shape and spatial reach across dozens of heterogeneous events with a full statistical layer. The gap this work closes is not “yet another model” but “how to compare such models honestly.”</w:t>
      </w:r>
    </w:p>
    <w:p>
      <w:pPr>
        <w:keepNext/>
        <w:spacing w:after="70" w:before="200"/>
      </w:pPr>
      <w:r>
        <w:rPr>
          <w:rFonts w:ascii="Palatino Linotype" w:cs="Palatino Linotype" w:eastAsia="Palatino Linotype" w:hAnsi="Palatino Linotype"/>
          <w:b/>
          <w:bCs/>
          <w:color w:val="1A1A1A"/>
          <w:sz w:val="21"/>
          <w:szCs w:val="21"/>
        </w:rPr>
        <w:t xml:space="preserve">3. Data</w:t>
      </w:r>
    </w:p>
    <w:p>
      <w:pPr>
        <w:keepNext/>
        <w:spacing w:after="50" w:before="140"/>
      </w:pPr>
      <w:r>
        <w:rPr>
          <w:rFonts w:ascii="Palatino Linotype" w:cs="Palatino Linotype" w:eastAsia="Palatino Linotype" w:hAnsi="Palatino Linotype"/>
          <w:b/>
          <w:bCs/>
          <w:i/>
          <w:iCs/>
          <w:color w:val="1A1A1A"/>
          <w:sz w:val="19"/>
          <w:szCs w:val="19"/>
        </w:rPr>
        <w:t xml:space="preserve">3.1. Event benchmark (N=27)</w:t>
      </w:r>
    </w:p>
    <w:p>
      <w:pPr>
        <w:spacing w:after="20" w:line="240"/>
        <w:ind w:firstLine="220"/>
        <w:jc w:val="both"/>
      </w:pPr>
      <w:r>
        <w:rPr>
          <w:rFonts w:ascii="Palatino Linotype" w:cs="Palatino Linotype" w:eastAsia="Palatino Linotype" w:hAnsi="Palatino Linotype"/>
          <w:sz w:val="19"/>
          <w:szCs w:val="19"/>
        </w:rPr>
        <w:t xml:space="preserve">Each event specifies: the shocked node (country:industry or chokepoint), source-side shock magnitude, duration, forcing shape, horizon; and an observed target — the global/industry output loss from a primary source. The full list is Appendix A. Categories: earthquakes, floods, fires, lockdowns, energy crises, port congestion, chokepoint blockages, trade controls, strikes, financial crisis.</w:t>
      </w:r>
    </w:p>
    <w:p>
      <w:pPr>
        <w:spacing w:after="20" w:line="240"/>
        <w:ind w:firstLine="220"/>
        <w:jc w:val="both"/>
      </w:pPr>
      <w:r>
        <w:rPr>
          <w:rFonts w:ascii="Palatino Linotype" w:cs="Palatino Linotype" w:eastAsia="Palatino Linotype" w:hAnsi="Palatino Linotype"/>
          <w:b/>
          <w:bCs/>
          <w:sz w:val="19"/>
          <w:szCs w:val="19"/>
        </w:rPr>
        <w:t xml:space="preserve">Source-tier protocol</w:t>
      </w:r>
      <w:r>
        <w:rPr>
          <w:rFonts w:ascii="Palatino Linotype" w:cs="Palatino Linotype" w:eastAsia="Palatino Linotype" w:hAnsi="Palatino Linotype"/>
          <w:sz w:val="19"/>
          <w:szCs w:val="19"/>
        </w:rPr>
        <w:t xml:space="preserve"> (written): tier 1 — industry statistical agencies (OICA, JAMA, VDA, SIA) and official macro data (central banks, IMF, IMF PortWatch [26]); tier 2 — company filings; tier 3 (Reuters/Bloomberg/Nikkei) only when quoting tier 1/2. Rules: peak is distinguished from residual; derived numbers are tagged [DERIVED]; the node is assigned by where production occurred.</w:t>
      </w:r>
    </w:p>
    <w:p>
      <w:pPr>
        <w:spacing w:after="20" w:line="240"/>
        <w:ind w:firstLine="220"/>
        <w:jc w:val="both"/>
      </w:pPr>
      <w:r>
        <w:rPr>
          <w:rFonts w:ascii="Palatino Linotype" w:cs="Palatino Linotype" w:eastAsia="Palatino Linotype" w:hAnsi="Palatino Linotype"/>
          <w:b/>
          <w:bCs/>
          <w:sz w:val="19"/>
          <w:szCs w:val="19"/>
        </w:rPr>
        <w:t xml:space="preserve">Negative control</w:t>
      </w:r>
      <w:r>
        <w:rPr>
          <w:rFonts w:ascii="Palatino Linotype" w:cs="Palatino Linotype" w:eastAsia="Palatino Linotype" w:hAnsi="Palatino Linotype"/>
          <w:sz w:val="19"/>
          <w:szCs w:val="19"/>
        </w:rPr>
        <w:t xml:space="preserve">: events without a clean primary number (Philips 2000 fire) or with structural graph gaps (Boeing 737 MAX) are documented as not-wired with the reason, not fitted. The base contains 17+ near-misses — events with little actual cascade: the model is penalized for false positives.</w:t>
      </w:r>
    </w:p>
    <w:p>
      <w:pPr>
        <w:keepNext/>
        <w:spacing w:after="50" w:before="140"/>
      </w:pPr>
      <w:r>
        <w:rPr>
          <w:rFonts w:ascii="Palatino Linotype" w:cs="Palatino Linotype" w:eastAsia="Palatino Linotype" w:hAnsi="Palatino Linotype"/>
          <w:b/>
          <w:bCs/>
          <w:i/>
          <w:iCs/>
          <w:color w:val="1A1A1A"/>
          <w:sz w:val="19"/>
          <w:szCs w:val="19"/>
        </w:rPr>
        <w:t xml:space="preserve">3.2. Trajectory targets and graph</w:t>
      </w:r>
    </w:p>
    <w:p>
      <w:pPr>
        <w:spacing w:after="20" w:line="240"/>
        <w:ind w:firstLine="220"/>
        <w:jc w:val="both"/>
      </w:pPr>
      <w:r>
        <w:rPr>
          <w:rFonts w:ascii="Palatino Linotype" w:cs="Palatino Linotype" w:eastAsia="Palatino Linotype" w:hAnsi="Palatino Linotype"/>
          <w:sz w:val="19"/>
          <w:szCs w:val="19"/>
        </w:rPr>
        <w:t xml:space="preserve">For Track B we collect: peak output loss of the shocked sector in the source country (measured targets only, status “null” with a reason where no source exists); weeks-to-peak and weeks-to-90%-recovery; 62 rows of “event → affected node → onset week” each primary-sourced. Graph v2: 41 nodes (12 countries × 6 industries + 5 chokepoints), weights cross-checked against OECD ICIO [25] (Spearman 0.79–0.84). Graph v3: 405 nodes (81 economies × 5 sectors) directly from the ICIO 2019 tables.</w:t>
      </w:r>
    </w:p>
    <w:p>
      <w:pPr>
        <w:keepNext/>
        <w:spacing w:after="70" w:before="200"/>
      </w:pPr>
      <w:r>
        <w:rPr>
          <w:rFonts w:ascii="Palatino Linotype" w:cs="Palatino Linotype" w:eastAsia="Palatino Linotype" w:hAnsi="Palatino Linotype"/>
          <w:b/>
          <w:bCs/>
          <w:color w:val="1A1A1A"/>
          <w:sz w:val="21"/>
          <w:szCs w:val="21"/>
        </w:rPr>
        <w:t xml:space="preserve">4. Models</w:t>
      </w:r>
    </w:p>
    <w:p>
      <w:pPr>
        <w:spacing w:after="20" w:line="240"/>
        <w:ind w:firstLine="220"/>
        <w:jc w:val="both"/>
      </w:pPr>
      <w:r>
        <w:rPr>
          <w:rFonts w:ascii="Palatino Linotype" w:cs="Palatino Linotype" w:eastAsia="Palatino Linotype" w:hAnsi="Palatino Linotype"/>
          <w:b/>
          <w:bCs/>
          <w:sz w:val="19"/>
          <w:szCs w:val="19"/>
        </w:rPr>
        <w:t xml:space="preserve">GEDS (SEIRS-Bullwhip-Hysteresis)</w:t>
      </w:r>
      <w:r>
        <w:rPr>
          <w:rFonts w:ascii="Palatino Linotype" w:cs="Palatino Linotype" w:eastAsia="Palatino Linotype" w:hAnsi="Palatino Linotype"/>
          <w:sz w:val="19"/>
          <w:szCs w:val="19"/>
        </w:rPr>
        <w:t xml:space="preserve"> — the proposed engine: each node moves through Susceptible → Exposed (an inventory buffer absorbs incoming shortfall) → Infected (output loss with nonlinear amplification) → Recovered (hysteresis). </w:t>
      </w:r>
      <w:r>
        <w:rPr>
          <w:rFonts w:ascii="Palatino Linotype" w:cs="Palatino Linotype" w:eastAsia="Palatino Linotype" w:hAnsi="Palatino Linotype"/>
          <w:b/>
          <w:bCs/>
          <w:sz w:val="19"/>
          <w:szCs w:val="19"/>
        </w:rPr>
        <w:t xml:space="preserve">Baselines</w:t>
      </w:r>
      <w:r>
        <w:rPr>
          <w:rFonts w:ascii="Palatino Linotype" w:cs="Palatino Linotype" w:eastAsia="Palatino Linotype" w:hAnsi="Palatino Linotype"/>
          <w:sz w:val="19"/>
          <w:szCs w:val="19"/>
        </w:rPr>
        <w:t xml:space="preserve"> (zero fitted parameters): a Leontief input–output model, linear network diffusion, a naive mean predictor. The configuration is deterministic (stochastic_sigma = 0, seed = 0) and pinned by a golden test.</w:t>
      </w:r>
    </w:p>
    <w:p>
      <w:pPr>
        <w:keepNext/>
        <w:spacing w:after="50" w:before="140"/>
      </w:pPr>
      <w:r>
        <w:rPr>
          <w:rFonts w:ascii="Palatino Linotype" w:cs="Palatino Linotype" w:eastAsia="Palatino Linotype" w:hAnsi="Palatino Linotype"/>
          <w:b/>
          <w:bCs/>
          <w:i/>
          <w:iCs/>
          <w:color w:val="1A1A1A"/>
          <w:sz w:val="19"/>
          <w:szCs w:val="19"/>
        </w:rPr>
        <w:t xml:space="preserve">4.1. Formal engine specification</w:t>
      </w:r>
    </w:p>
    <w:p>
      <w:pPr>
        <w:spacing w:after="20" w:line="240"/>
        <w:ind w:firstLine="220"/>
        <w:jc w:val="both"/>
      </w:pPr>
      <w:r>
        <w:rPr>
          <w:rFonts w:ascii="Palatino Linotype" w:cs="Palatino Linotype" w:eastAsia="Palatino Linotype" w:hAnsi="Palatino Linotype"/>
          <w:sz w:val="19"/>
          <w:szCs w:val="19"/>
        </w:rPr>
        <w:t xml:space="preserve">Let s_i(t) ∈ [0, 1] be the shock level of node i in week t and D_eff the effective-dependency matrix. The per-step update (vectorized over nodes). Incoming pressure with the bullwhip effect, where β_i = bullwhip factor (1.25 in state E):</w:t>
      </w:r>
    </w:p>
    <w:p>
      <w:pPr>
        <w:spacing w:after="40" w:before="40"/>
        <w:jc w:val="center"/>
      </w:pPr>
      <w:r>
        <w:rPr>
          <w:rFonts w:ascii="Palatino Linotype" w:cs="Palatino Linotype" w:eastAsia="Palatino Linotype" w:hAnsi="Palatino Linotype"/>
          <w:sz w:val="18"/>
          <w:szCs w:val="18"/>
        </w:rPr>
        <w:t xml:space="preserve">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β</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Σ</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 D</w:t>
      </w:r>
      <w:r>
        <w:rPr>
          <w:rFonts w:ascii="Palatino Linotype" w:cs="Palatino Linotype" w:eastAsia="Palatino Linotype" w:hAnsi="Palatino Linotype"/>
          <w:sz w:val="18"/>
          <w:szCs w:val="18"/>
          <w:vertAlign w:val="subscript"/>
        </w:rPr>
        <w:t xml:space="preserve">eff</w:t>
      </w:r>
      <w:r>
        <w:rPr>
          <w:rFonts w:ascii="Palatino Linotype" w:cs="Palatino Linotype" w:eastAsia="Palatino Linotype" w:hAnsi="Palatino Linotype"/>
          <w:sz w:val="18"/>
          <w:szCs w:val="18"/>
        </w:rPr>
        <w:t xml:space="preserve">[i,j] · s</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(1)</w:t>
      </w:r>
    </w:p>
    <w:p>
      <w:pPr>
        <w:spacing w:after="20" w:line="240"/>
        <w:ind w:firstLine="220"/>
        <w:jc w:val="both"/>
      </w:pPr>
      <w:r>
        <w:rPr>
          <w:rFonts w:ascii="Palatino Linotype" w:cs="Palatino Linotype" w:eastAsia="Palatino Linotype" w:hAnsi="Palatino Linotype"/>
          <w:sz w:val="19"/>
          <w:szCs w:val="19"/>
        </w:rPr>
        <w:t xml:space="preserve">Impact impulse (δ — propagation decay, V — vulnerability, A — nonlinear amplification, ρ — resilience, the (1−s) factor giving saturation):</w:t>
      </w:r>
    </w:p>
    <w:p>
      <w:pPr>
        <w:spacing w:after="40" w:before="40"/>
        <w:jc w:val="center"/>
      </w:pPr>
      <w:r>
        <w:rPr>
          <w:rFonts w:ascii="Palatino Linotype" w:cs="Palatino Linotype" w:eastAsia="Palatino Linotype" w:hAnsi="Palatino Linotype"/>
          <w:sz w:val="18"/>
          <w:szCs w:val="18"/>
        </w:rPr>
        <w:t xml:space="preserve">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δ</w:t>
      </w:r>
      <w:r>
        <w:rPr>
          <w:rFonts w:ascii="Palatino Linotype" w:cs="Palatino Linotype" w:eastAsia="Palatino Linotype" w:hAnsi="Palatino Linotype"/>
          <w:sz w:val="18"/>
          <w:szCs w:val="18"/>
        </w:rPr>
        <w:t xml:space="preserve"> · 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V</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A</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(2)</w:t>
      </w:r>
    </w:p>
    <w:p>
      <w:pPr>
        <w:spacing w:after="20" w:line="240"/>
        <w:ind w:firstLine="220"/>
        <w:jc w:val="both"/>
      </w:pPr>
      <w:r>
        <w:rPr>
          <w:rFonts w:ascii="Palatino Linotype" w:cs="Palatino Linotype" w:eastAsia="Palatino Linotype" w:hAnsi="Palatino Linotype"/>
          <w:sz w:val="19"/>
          <w:szCs w:val="19"/>
        </w:rPr>
        <w:t xml:space="preserve">Weekly recovery rate tied to the node delay delay_i (8 weeks reference):</w:t>
      </w:r>
    </w:p>
    <w:p>
      <w:pPr>
        <w:spacing w:after="40" w:before="40"/>
        <w:jc w:val="center"/>
      </w:pPr>
      <w:r>
        <w:rPr>
          <w:rFonts w:ascii="Palatino Linotype" w:cs="Palatino Linotype" w:eastAsia="Palatino Linotype" w:hAnsi="Palatino Linotype"/>
          <w:i/>
          <w:iCs/>
          <w:sz w:val="18"/>
          <w:szCs w:val="18"/>
        </w:rPr>
        <w:t xml:space="preserve">γ</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clip( recovery_rate · (8 / max(delay</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0.5)), 0, 0.95 )</w:t>
      </w:r>
      <w:r>
        <w:rPr>
          <w:rFonts w:ascii="Palatino Linotype" w:cs="Palatino Linotype" w:eastAsia="Palatino Linotype" w:hAnsi="Palatino Linotype"/>
          <w:sz w:val="18"/>
          <w:szCs w:val="18"/>
        </w:rPr>
        <w:t xml:space="preserve">    (3)</w:t>
      </w:r>
    </w:p>
    <w:p>
      <w:pPr>
        <w:spacing w:after="20" w:line="240"/>
        <w:ind w:firstLine="220"/>
        <w:jc w:val="both"/>
      </w:pPr>
      <w:r>
        <w:rPr>
          <w:rFonts w:ascii="Palatino Linotype" w:cs="Palatino Linotype" w:eastAsia="Palatino Linotype" w:hAnsi="Palatino Linotype"/>
          <w:sz w:val="19"/>
          <w:szCs w:val="19"/>
        </w:rPr>
        <w:t xml:space="preserve">State transition, where x_i is the event's external forcing (shape step/linear/exp/ramp), r_i = γ_i·s_i for unforced nodes, ε — noise (ε ≡ 0 in the benchmark):</w:t>
      </w:r>
    </w:p>
    <w:p>
      <w:pPr>
        <w:spacing w:after="40" w:before="40"/>
        <w:jc w:val="center"/>
      </w:pPr>
      <w:r>
        <w:rPr>
          <w:rFonts w:ascii="Palatino Linotype" w:cs="Palatino Linotype" w:eastAsia="Palatino Linotype" w:hAnsi="Palatino Linotype"/>
          <w:sz w:val="18"/>
          <w:szCs w:val="18"/>
        </w:rPr>
        <w:t xml:space="preserve">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 clip( max( x</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r</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ε</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0, 1 )</w:t>
      </w:r>
      <w:r>
        <w:rPr>
          <w:rFonts w:ascii="Palatino Linotype" w:cs="Palatino Linotype" w:eastAsia="Palatino Linotype" w:hAnsi="Palatino Linotype"/>
          <w:sz w:val="18"/>
          <w:szCs w:val="18"/>
        </w:rPr>
        <w:t xml:space="preserve">    (4)</w:t>
      </w:r>
    </w:p>
    <w:p>
      <w:pPr>
        <w:spacing w:after="20" w:line="240"/>
        <w:ind w:firstLine="220"/>
        <w:jc w:val="both"/>
      </w:pPr>
      <w:r>
        <w:rPr>
          <w:rFonts w:ascii="Palatino Linotype" w:cs="Palatino Linotype" w:eastAsia="Palatino Linotype" w:hAnsi="Palatino Linotype"/>
          <w:sz w:val="19"/>
          <w:szCs w:val="19"/>
        </w:rPr>
        <w:t xml:space="preserve">Observed node output loss (η — elasticity, f_i — the R-state hysteresis floor, ≥ 0.30 while recovering):</w:t>
      </w:r>
    </w:p>
    <w:p>
      <w:pPr>
        <w:spacing w:after="40" w:before="40"/>
        <w:jc w:val="center"/>
      </w:pPr>
      <w:r>
        <w:rPr>
          <w:rFonts w:ascii="Palatino Linotype" w:cs="Palatino Linotype" w:eastAsia="Palatino Linotype" w:hAnsi="Palatino Linotype"/>
          <w:sz w:val="18"/>
          <w:szCs w:val="18"/>
        </w:rPr>
        <w:t xml:space="preserve">L</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max(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η</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f</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w:t>
      </w:r>
      <w:r>
        <w:rPr>
          <w:rFonts w:ascii="Palatino Linotype" w:cs="Palatino Linotype" w:eastAsia="Palatino Linotype" w:hAnsi="Palatino Linotype"/>
          <w:sz w:val="18"/>
          <w:szCs w:val="18"/>
        </w:rPr>
        <w:t xml:space="preserve">    (5)</w:t>
      </w:r>
    </w:p>
    <w:p>
      <w:pPr>
        <w:spacing w:after="20" w:line="240"/>
        <w:ind w:firstLine="220"/>
        <w:jc w:val="both"/>
      </w:pPr>
      <w:r>
        <w:rPr>
          <w:rFonts w:ascii="Palatino Linotype" w:cs="Palatino Linotype" w:eastAsia="Palatino Linotype" w:hAnsi="Palatino Linotype"/>
          <w:sz w:val="19"/>
          <w:szCs w:val="19"/>
        </w:rPr>
        <w:t xml:space="preserve">Scalar cascade-severity index (c_i — node centrality, d_i — input exposure):</w:t>
      </w:r>
    </w:p>
    <w:p>
      <w:pPr>
        <w:spacing w:after="40" w:before="40"/>
        <w:jc w:val="center"/>
      </w:pPr>
      <w:r>
        <w:rPr>
          <w:rFonts w:ascii="Palatino Linotype" w:cs="Palatino Linotype" w:eastAsia="Palatino Linotype" w:hAnsi="Palatino Linotype"/>
          <w:sz w:val="18"/>
          <w:szCs w:val="18"/>
        </w:rPr>
        <w:t xml:space="preserve">CSI(t) = (1/N) · Σ</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c</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d</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(6)</w:t>
      </w:r>
    </w:p>
    <w:p>
      <w:pPr>
        <w:spacing w:after="20" w:line="240"/>
        <w:ind w:firstLine="220"/>
        <w:jc w:val="both"/>
      </w:pPr>
      <w:r>
        <w:rPr>
          <w:rFonts w:ascii="Palatino Linotype" w:cs="Palatino Linotype" w:eastAsia="Palatino Linotype" w:hAnsi="Palatino Linotype"/>
          <w:b/>
          <w:bCs/>
          <w:sz w:val="19"/>
          <w:szCs w:val="19"/>
        </w:rPr>
        <w:t xml:space="preserve">SEIRS states.</w:t>
      </w:r>
      <w:r>
        <w:rPr>
          <w:rFonts w:ascii="Palatino Linotype" w:cs="Palatino Linotype" w:eastAsia="Palatino Linotype" w:hAnsi="Palatino Linotype"/>
          <w:sz w:val="19"/>
          <w:szCs w:val="19"/>
        </w:rPr>
        <w:t xml:space="preserve"> A node moves S→E when incoming pressure crosses a trigger (an inventory buffer of depth inventory_scale absorbs the shortfall), E→I, I→R as the shock recedes; in R it holds for delay_i weeks with output floor f_i, then returns to S — this is the hysteresis. </w:t>
      </w:r>
      <w:r>
        <w:rPr>
          <w:rFonts w:ascii="Palatino Linotype" w:cs="Palatino Linotype" w:eastAsia="Palatino Linotype" w:hAnsi="Palatino Linotype"/>
          <w:b/>
          <w:bCs/>
          <w:sz w:val="19"/>
          <w:szCs w:val="19"/>
        </w:rPr>
        <w:t xml:space="preserve">Five calibrated parameters</w:t>
      </w:r>
      <w:r>
        <w:rPr>
          <w:rFonts w:ascii="Palatino Linotype" w:cs="Palatino Linotype" w:eastAsia="Palatino Linotype" w:hAnsi="Palatino Linotype"/>
          <w:sz w:val="19"/>
          <w:szCs w:val="19"/>
        </w:rPr>
        <w:t xml:space="preserve"> θ = (amplification_mu, bullwhip_factor, recovery_rate, inventory_scale, distress_base); all other quantities are structural or fixed. Baselines formally: Leontief solves an (I−A)^{-1}-type loss equilibrium; linear diffusion iterates s(t+1)=s(t)+δ·(W·s(t)) with no saturation or recovery; the naive predictor returns the sample mean.</w:t>
      </w:r>
    </w:p>
    <w:p>
      <w:pPr>
        <w:keepNext/>
        <w:spacing w:after="70" w:before="200"/>
      </w:pPr>
      <w:r>
        <w:rPr>
          <w:rFonts w:ascii="Palatino Linotype" w:cs="Palatino Linotype" w:eastAsia="Palatino Linotype" w:hAnsi="Palatino Linotype"/>
          <w:b/>
          <w:bCs/>
          <w:color w:val="1A1A1A"/>
          <w:sz w:val="21"/>
          <w:szCs w:val="21"/>
        </w:rPr>
        <w:t xml:space="preserve">5. Validation Methods</w:t>
      </w:r>
    </w:p>
    <w:p>
      <w:pPr>
        <w:keepNext/>
        <w:spacing w:after="50" w:before="140"/>
      </w:pPr>
      <w:r>
        <w:rPr>
          <w:rFonts w:ascii="Palatino Linotype" w:cs="Palatino Linotype" w:eastAsia="Palatino Linotype" w:hAnsi="Palatino Linotype"/>
          <w:b/>
          <w:bCs/>
          <w:i/>
          <w:iCs/>
          <w:color w:val="1A1A1A"/>
          <w:sz w:val="19"/>
          <w:szCs w:val="19"/>
        </w:rPr>
        <w:t xml:space="preserve">5.1. Three axes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A (magnitude)</w:t>
      </w:r>
      <w:r>
        <w:rPr>
          <w:rFonts w:ascii="Palatino Linotype" w:cs="Palatino Linotype" w:eastAsia="Palatino Linotype" w:hAnsi="Palatino Linotype"/>
          <w:sz w:val="19"/>
          <w:szCs w:val="19"/>
        </w:rPr>
        <w:t xml:space="preserve">: predicted vs. observed global/industry loss, N=27; MAE, RMSE, Spearman.</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B (shape)</w:t>
      </w:r>
      <w:r>
        <w:rPr>
          <w:rFonts w:ascii="Palatino Linotype" w:cs="Palatino Linotype" w:eastAsia="Palatino Linotype" w:hAnsi="Palatino Linotype"/>
          <w:sz w:val="19"/>
          <w:szCs w:val="19"/>
        </w:rPr>
        <w:t xml:space="preserve">: the shocked node's own trajectory: peak magnitude (n=5), weeks-to-peak (n=15), weeks-to-90%-recovery (n=11).</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Spatial</w:t>
      </w:r>
      <w:r>
        <w:rPr>
          <w:rFonts w:ascii="Palatino Linotype" w:cs="Palatino Linotype" w:eastAsia="Palatino Linotype" w:hAnsi="Palatino Linotype"/>
          <w:sz w:val="19"/>
          <w:szCs w:val="19"/>
        </w:rPr>
        <w:t xml:space="preserve">: the share of historically-hit nodes the cascade reaches (recall), and the rank correlation of onset order.</w:t>
      </w:r>
    </w:p>
    <w:p>
      <w:pPr>
        <w:keepNext/>
        <w:spacing w:after="50" w:before="140"/>
      </w:pPr>
      <w:r>
        <w:rPr>
          <w:rFonts w:ascii="Palatino Linotype" w:cs="Palatino Linotype" w:eastAsia="Palatino Linotype" w:hAnsi="Palatino Linotype"/>
          <w:b/>
          <w:bCs/>
          <w:i/>
          <w:iCs/>
          <w:color w:val="1A1A1A"/>
          <w:sz w:val="19"/>
          <w:szCs w:val="19"/>
        </w:rPr>
        <w:t xml:space="preserve">5.2. Statistical layer</w:t>
      </w:r>
    </w:p>
    <w:p>
      <w:pPr>
        <w:spacing w:after="20" w:line="240"/>
        <w:ind w:firstLine="220"/>
        <w:jc w:val="both"/>
      </w:pPr>
      <w:r>
        <w:rPr>
          <w:rFonts w:ascii="Palatino Linotype" w:cs="Palatino Linotype" w:eastAsia="Palatino Linotype" w:hAnsi="Palatino Linotype"/>
          <w:sz w:val="19"/>
          <w:szCs w:val="19"/>
        </w:rPr>
        <w:t xml:space="preserve">At N=27 the question “is the difference significant?” comes first. All procedures are deterministic (seed 20260718) and resample whole events.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Bootstrap CIs</w:t>
      </w:r>
      <w:r>
        <w:rPr>
          <w:rFonts w:ascii="Palatino Linotype" w:cs="Palatino Linotype" w:eastAsia="Palatino Linotype" w:hAnsi="Palatino Linotype"/>
          <w:sz w:val="19"/>
          <w:szCs w:val="19"/>
        </w:rPr>
        <w:t xml:space="preserve"> per metric: 10,000 resamples, percentile 95% intervals.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Paired bootstrap of differences</w:t>
      </w:r>
      <w:r>
        <w:rPr>
          <w:rFonts w:ascii="Palatino Linotype" w:cs="Palatino Linotype" w:eastAsia="Palatino Linotype" w:hAnsi="Palatino Linotype"/>
          <w:sz w:val="19"/>
          <w:szCs w:val="19"/>
        </w:rPr>
        <w:t xml:space="preserve">: shared resample indices for both models.</w:t>
      </w:r>
    </w:p>
    <w:p>
      <w:pPr>
        <w:spacing w:after="20" w:line="240"/>
        <w:ind w:firstLine="220"/>
        <w:jc w:val="both"/>
      </w:pPr>
      <w:r>
        <w:rPr>
          <w:rFonts w:ascii="Palatino Linotype" w:cs="Palatino Linotype" w:eastAsia="Palatino Linotype" w:hAnsi="Palatino Linotype"/>
          <w:b/>
          <w:bCs/>
          <w:sz w:val="19"/>
          <w:szCs w:val="19"/>
        </w:rPr>
        <w:t xml:space="preserve">Sign-flip permutation test</w:t>
      </w:r>
      <w:r>
        <w:rPr>
          <w:rFonts w:ascii="Palatino Linotype" w:cs="Palatino Linotype" w:eastAsia="Palatino Linotype" w:hAnsi="Palatino Linotype"/>
          <w:sz w:val="19"/>
          <w:szCs w:val="19"/>
        </w:rPr>
        <w:t xml:space="preserve"> for a pair (A, B) with per-event absolute errors e_A, e_B: statistic T = |mean(|e_A|−|e_B|)|; under H0 each difference's sign is flipped independently (20,000 permutations); two-sided p:</w:t>
      </w:r>
    </w:p>
    <w:p>
      <w:pPr>
        <w:spacing w:after="40" w:before="40"/>
        <w:jc w:val="center"/>
      </w:pPr>
      <w:r>
        <w:rPr>
          <w:rFonts w:ascii="Palatino Linotype" w:cs="Palatino Linotype" w:eastAsia="Palatino Linotype" w:hAnsi="Palatino Linotype"/>
          <w:sz w:val="18"/>
          <w:szCs w:val="18"/>
        </w:rPr>
        <w:t xml:space="preserve">p = (1 + #{ T* ≥ T }) / (20000 + 1)</w:t>
      </w:r>
      <w:r>
        <w:rPr>
          <w:rFonts w:ascii="Palatino Linotype" w:cs="Palatino Linotype" w:eastAsia="Palatino Linotype" w:hAnsi="Palatino Linotype"/>
          <w:sz w:val="18"/>
          <w:szCs w:val="18"/>
        </w:rPr>
        <w:t xml:space="preserve">    (7)</w:t>
      </w:r>
    </w:p>
    <w:p>
      <w:pPr>
        <w:spacing w:after="20" w:line="240"/>
        <w:ind w:firstLine="220"/>
        <w:jc w:val="both"/>
      </w:pPr>
      <w:r>
        <w:rPr>
          <w:rFonts w:ascii="Palatino Linotype" w:cs="Palatino Linotype" w:eastAsia="Palatino Linotype" w:hAnsi="Palatino Linotype"/>
          <w:b/>
          <w:bCs/>
          <w:sz w:val="19"/>
          <w:szCs w:val="19"/>
        </w:rPr>
        <w:t xml:space="preserve">Power analysis / minimum detectable effect</w:t>
      </w:r>
      <w:r>
        <w:rPr>
          <w:rFonts w:ascii="Palatino Linotype" w:cs="Palatino Linotype" w:eastAsia="Palatino Linotype" w:hAnsi="Palatino Linotype"/>
          <w:sz w:val="19"/>
          <w:szCs w:val="19"/>
        </w:rPr>
        <w:t xml:space="preserve">: for paired differences d_i, the smallest mean MAE difference detectable at 80% power and α=0.05, and the N required for the observed difference:</w:t>
      </w:r>
    </w:p>
    <w:p>
      <w:pPr>
        <w:spacing w:after="40" w:before="40"/>
        <w:jc w:val="center"/>
      </w:pPr>
      <w:r>
        <w:rPr>
          <w:rFonts w:ascii="Palatino Linotype" w:cs="Palatino Linotype" w:eastAsia="Palatino Linotype" w:hAnsi="Palatino Linotype"/>
          <w:sz w:val="18"/>
          <w:szCs w:val="18"/>
        </w:rPr>
        <w:t xml:space="preserve">MDE = (z</w:t>
      </w:r>
      <w:r>
        <w:rPr>
          <w:rFonts w:ascii="Palatino Linotype" w:cs="Palatino Linotype" w:eastAsia="Palatino Linotype" w:hAnsi="Palatino Linotype"/>
          <w:sz w:val="18"/>
          <w:szCs w:val="18"/>
          <w:vertAlign w:val="subscript"/>
        </w:rPr>
        <w:t xml:space="preserve">0.975</w:t>
      </w:r>
      <w:r>
        <w:rPr>
          <w:rFonts w:ascii="Palatino Linotype" w:cs="Palatino Linotype" w:eastAsia="Palatino Linotype" w:hAnsi="Palatino Linotype"/>
          <w:sz w:val="18"/>
          <w:szCs w:val="18"/>
        </w:rPr>
        <w:t xml:space="preserve"> + z</w:t>
      </w:r>
      <w:r>
        <w:rPr>
          <w:rFonts w:ascii="Palatino Linotype" w:cs="Palatino Linotype" w:eastAsia="Palatino Linotype" w:hAnsi="Palatino Linotype"/>
          <w:sz w:val="18"/>
          <w:szCs w:val="18"/>
          <w:vertAlign w:val="subscript"/>
        </w:rPr>
        <w:t xml:space="preserve">0.80</w:t>
      </w:r>
      <w:r>
        <w:rPr>
          <w:rFonts w:ascii="Palatino Linotype" w:cs="Palatino Linotype" w:eastAsia="Palatino Linotype" w:hAnsi="Palatino Linotype"/>
          <w:sz w:val="18"/>
          <w:szCs w:val="18"/>
        </w:rPr>
        <w:t xml:space="preserve">) · sd(d) / √N ,   N</w:t>
      </w:r>
      <w:r>
        <w:rPr>
          <w:rFonts w:ascii="Palatino Linotype" w:cs="Palatino Linotype" w:eastAsia="Palatino Linotype" w:hAnsi="Palatino Linotype"/>
          <w:sz w:val="18"/>
          <w:szCs w:val="18"/>
          <w:vertAlign w:val="subscript"/>
        </w:rPr>
        <w:t xml:space="preserve">req</w:t>
      </w:r>
      <w:r>
        <w:rPr>
          <w:rFonts w:ascii="Palatino Linotype" w:cs="Palatino Linotype" w:eastAsia="Palatino Linotype" w:hAnsi="Palatino Linotype"/>
          <w:sz w:val="18"/>
          <w:szCs w:val="18"/>
        </w:rPr>
        <w:t xml:space="preserve"> = ( 2.80 · sd(d) / |mean(d)| )</w:t>
      </w:r>
      <w:r>
        <w:rPr>
          <w:rFonts w:ascii="Palatino Linotype" w:cs="Palatino Linotype" w:eastAsia="Palatino Linotype" w:hAnsi="Palatino Linotype"/>
          <w:sz w:val="18"/>
          <w:szCs w:val="18"/>
          <w:vertAlign w:val="superscript"/>
        </w:rPr>
        <w:t xml:space="preserve">2</w:t>
      </w:r>
      <w:r>
        <w:rPr>
          <w:rFonts w:ascii="Palatino Linotype" w:cs="Palatino Linotype" w:eastAsia="Palatino Linotype" w:hAnsi="Palatino Linotype"/>
          <w:sz w:val="18"/>
          <w:szCs w:val="18"/>
        </w:rPr>
        <w:t xml:space="preserve">    (8)</w:t>
      </w:r>
    </w:p>
    <w:p>
      <w:pPr>
        <w:spacing w:after="20" w:line="240"/>
        <w:ind w:firstLine="220"/>
        <w:jc w:val="both"/>
      </w:pPr>
      <w:r>
        <w:rPr>
          <w:rFonts w:ascii="Palatino Linotype" w:cs="Palatino Linotype" w:eastAsia="Palatino Linotype" w:hAnsi="Palatino Linotype"/>
          <w:b/>
          <w:bCs/>
          <w:sz w:val="19"/>
          <w:szCs w:val="19"/>
        </w:rPr>
        <w:t xml:space="preserve">Out-of-sample check</w:t>
      </w:r>
      <w:r>
        <w:rPr>
          <w:rFonts w:ascii="Palatino Linotype" w:cs="Palatino Linotype" w:eastAsia="Palatino Linotype" w:hAnsi="Palatino Linotype"/>
          <w:sz w:val="19"/>
          <w:szCs w:val="19"/>
        </w:rPr>
        <w:t xml:space="preserve">: leave-one-out cross-validation with per-fold differential-evolution recalibration of the five parameters — the held-out event never influences its own parameters; the baselines have no parameters.</w:t>
      </w:r>
    </w:p>
    <w:p>
      <w:pPr>
        <w:keepNext/>
        <w:spacing w:after="50" w:before="140"/>
      </w:pPr>
      <w:r>
        <w:rPr>
          <w:rFonts w:ascii="Palatino Linotype" w:cs="Palatino Linotype" w:eastAsia="Palatino Linotype" w:hAnsi="Palatino Linotype"/>
          <w:b/>
          <w:bCs/>
          <w:i/>
          <w:iCs/>
          <w:color w:val="1A1A1A"/>
          <w:sz w:val="19"/>
          <w:szCs w:val="19"/>
        </w:rPr>
        <w:t xml:space="preserve">5.3. Pre-registration of mechanism changes</w:t>
      </w:r>
    </w:p>
    <w:p>
      <w:pPr>
        <w:spacing w:after="20" w:line="240"/>
        <w:ind w:firstLine="220"/>
        <w:jc w:val="both"/>
      </w:pPr>
      <w:r>
        <w:rPr>
          <w:rFonts w:ascii="Palatino Linotype" w:cs="Palatino Linotype" w:eastAsia="Palatino Linotype" w:hAnsi="Palatino Linotype"/>
          <w:sz w:val="19"/>
          <w:szCs w:val="19"/>
        </w:rPr>
        <w:t xml:space="preserve">Every engine change passes a pre-declared gate. Negative outcomes are preserved in the project record: inventory absorption, per-node recovery, hysteresis-floor removal — all three improved in-sample metrics and were rejected by the out-of-sample gate. The adopted change (ramp, §6.3) passed the same protocol.</w:t>
      </w:r>
    </w:p>
    <w:p>
      <w:pPr>
        <w:keepNext/>
        <w:spacing w:after="70" w:before="200"/>
      </w:pPr>
      <w:r>
        <w:rPr>
          <w:rFonts w:ascii="Palatino Linotype" w:cs="Palatino Linotype" w:eastAsia="Palatino Linotype" w:hAnsi="Palatino Linotype"/>
          <w:b/>
          <w:bCs/>
          <w:color w:val="1A1A1A"/>
          <w:sz w:val="21"/>
          <w:szCs w:val="21"/>
        </w:rPr>
        <w:t xml:space="preserve">6. Results</w:t>
      </w:r>
    </w:p>
    <w:p>
      <w:pPr>
        <w:keepNext/>
        <w:spacing w:after="50" w:before="140"/>
      </w:pPr>
      <w:r>
        <w:rPr>
          <w:rFonts w:ascii="Palatino Linotype" w:cs="Palatino Linotype" w:eastAsia="Palatino Linotype" w:hAnsi="Palatino Linotype"/>
          <w:b/>
          <w:bCs/>
          <w:i/>
          <w:iCs/>
          <w:color w:val="1A1A1A"/>
          <w:sz w:val="19"/>
          <w:szCs w:val="19"/>
        </w:rPr>
        <w:t xml:space="preserve">6.1. Track A: magnitude parity</w:t>
      </w:r>
    </w:p>
    <w:p>
      <w:pPr>
        <w:spacing w:after="20" w:line="240"/>
        <w:ind w:firstLine="220"/>
        <w:jc w:val="both"/>
      </w:pPr>
      <w:r>
        <w:rPr>
          <w:rFonts w:ascii="Palatino Linotype" w:cs="Palatino Linotype" w:eastAsia="Palatino Linotype" w:hAnsi="Palatino Linotype"/>
          <w:sz w:val="19"/>
          <w:szCs w:val="19"/>
        </w:rPr>
        <w:t xml:space="preserve">The four models at default parameters are in Table 1. Point estimates suggest a hierarchy, but none of the six pairwise MAE differences is significant (Figure 1): GEDS−Leontief ΔMAE +0.0074 [−0.0031; +0.0218], p=0.42; Leontief−naive −0.0040 [−0.0083; +0.0005], p=0.09; the rest p=0.21–0.97. </w:t>
      </w:r>
      <w:r>
        <w:rPr>
          <w:rFonts w:ascii="Palatino Linotype" w:cs="Palatino Linotype" w:eastAsia="Palatino Linotype" w:hAnsi="Palatino Linotype"/>
          <w:b/>
          <w:bCs/>
          <w:sz w:val="19"/>
          <w:szCs w:val="19"/>
        </w:rPr>
        <w:t xml:space="preserve">At N=27 single-number validation does not rank these models.</w:t>
      </w:r>
      <w:r>
        <w:rPr>
          <w:rFonts w:ascii="Palatino Linotype" w:cs="Palatino Linotype" w:eastAsia="Palatino Linotype" w:hAnsi="Palatino Linotype"/>
          <w:sz w:val="19"/>
          <w:szCs w:val="19"/>
        </w:rPr>
        <w:t xml:space="preserve"> The only significant Track-A signals are rank-based: linear diffusion (0.72 [0.40; 0.91]) and GEDS (0.45 [0.06; 0.73]).</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1.</w:t>
      </w:r>
      <w:r>
        <w:rPr>
          <w:rFonts w:ascii="Palatino Linotype" w:cs="Palatino Linotype" w:eastAsia="Palatino Linotype" w:hAnsi="Palatino Linotype"/>
          <w:sz w:val="16"/>
          <w:szCs w:val="16"/>
        </w:rPr>
        <w:t xml:space="preserve"> Four models at default parameters; MAE / RMSE / Spearman with 95% bootstrap CIs (N=27).</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400"/>
        <w:gridCol w:w="2079"/>
        <w:gridCol w:w="2079"/>
        <w:gridCol w:w="2080"/>
      </w:tblGrid>
      <w:tr>
        <w:trPr>
          <w:tblHeader/>
        </w:trPr>
        <w:tc>
          <w:tcPr>
            <w:tcW w:type="dxa" w:w="34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 [95% CI]</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RMSE [95% CI]</w:t>
            </w:r>
          </w:p>
        </w:tc>
        <w:tc>
          <w:tcPr>
            <w:tcW w:type="dxa" w:w="208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(SEIRS-b.-h.)</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 [0.011; 0.040]</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0.0464 [0.021; 0.067]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 [0.06; 0.73]</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 [0.008; 0.028]</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0.0313 [0.011; 0.046]</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 [−0.10; 0.67]</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 [0.009; 0.029]</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0.0317 [0.012; 0.049]</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0.72 [0.40; 0.91]</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 [0.013; 0.031]</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0.0324 [0.014; 0.047]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 (constant)</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54317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1.</w:t>
      </w:r>
      <w:r>
        <w:rPr>
          <w:rFonts w:ascii="Palatino Linotype" w:cs="Palatino Linotype" w:eastAsia="Palatino Linotype" w:hAnsi="Palatino Linotype"/>
          <w:sz w:val="16"/>
          <w:szCs w:val="16"/>
        </w:rPr>
        <w:t xml:space="preserve"> Pairwise MAE differences (first minus second) with 95% paired-bootstrap CIs and two-sided permutation p. All six pairs cross zero.</w:t>
      </w:r>
    </w:p>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81965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2.</w:t>
      </w:r>
      <w:r>
        <w:rPr>
          <w:rFonts w:ascii="Palatino Linotype" w:cs="Palatino Linotype" w:eastAsia="Palatino Linotype" w:hAnsi="Palatino Linotype"/>
          <w:sz w:val="16"/>
          <w:szCs w:val="16"/>
        </w:rPr>
        <w:t xml:space="preserve"> Predicted vs. observed per model, N=27; the dashed line is perfect agreement.</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6.2. Track B: the trajectory axes separate the models</w:t>
      </w:r>
    </w:p>
    <w:p>
      <w:pPr>
        <w:spacing w:after="20" w:line="240"/>
        <w:ind w:firstLine="220"/>
        <w:jc w:val="both"/>
      </w:pPr>
      <w:r>
        <w:rPr>
          <w:rFonts w:ascii="Palatino Linotype" w:cs="Palatino Linotype" w:eastAsia="Palatino Linotype" w:hAnsi="Palatino Linotype"/>
          <w:sz w:val="19"/>
          <w:szCs w:val="19"/>
        </w:rPr>
        <w:t xml:space="preserve">Neither Leontief nor the naive mean produces trajectories; linear diffusion gives a curve with no recovery. Only GEDS produces the full “peak → decay → recovery” shape — and on these axes the result is significant (Table 2). Recovery-duration ranking (0.88) is the strongest result; both timing CIs exclude zero. The magnitude axis at n=5 is statistically empty and is stated only as a limitation.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2.</w:t>
      </w:r>
      <w:r>
        <w:rPr>
          <w:rFonts w:ascii="Palatino Linotype" w:cs="Palatino Linotype" w:eastAsia="Palatino Linotype" w:hAnsi="Palatino Linotype"/>
          <w:sz w:val="16"/>
          <w:szCs w:val="16"/>
        </w:rPr>
        <w:t xml:space="preserve"> Track B: node-level trajectory-shape axes (the only axes that only GEDS produces).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900"/>
        <w:gridCol w:w="3138"/>
        <w:gridCol w:w="20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Axis</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w:t>
            </w:r>
          </w:p>
        </w:tc>
        <w:tc>
          <w:tcPr>
            <w:tcW w:type="dxa" w:w="313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Node peak magnitude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 [−0.09; 1.00] — not claimed</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peak</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0.69 [0.20; 0.87]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7.1 wk</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90% recovery</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0.88 [0.56; 0.99]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8.5 wk</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b/>
          <w:bCs/>
          <w:sz w:val="19"/>
          <w:szCs w:val="19"/>
        </w:rPr>
        <w:t xml:space="preserve">Robustness to single points (jackknife).</w:t>
      </w:r>
      <w:r>
        <w:rPr>
          <w:rFonts w:ascii="Palatino Linotype" w:cs="Palatino Linotype" w:eastAsia="Palatino Linotype" w:hAnsi="Palatino Linotype"/>
          <w:sz w:val="19"/>
          <w:szCs w:val="19"/>
        </w:rPr>
        <w:t xml:space="preserve"> A leave-one-out test (drop each event and recompute Spearman) refutes the concern that a correlation rests on one point: for weeks-to-peak the full estimate is 0.691, LOO range [0.619; 0.790]; for recovery the full estimate is 0.883, LOO range [0.843; 0.917]. No single event drops the correlation below 0.62 and 0.84 respectively.</w:t>
      </w:r>
    </w:p>
    <w:p>
      <w:pPr>
        <w:keepNext/>
        <w:spacing w:after="50" w:before="140"/>
      </w:pPr>
      <w:r>
        <w:rPr>
          <w:rFonts w:ascii="Palatino Linotype" w:cs="Palatino Linotype" w:eastAsia="Palatino Linotype" w:hAnsi="Palatino Linotype"/>
          <w:b/>
          <w:bCs/>
          <w:i/>
          <w:iCs/>
          <w:color w:val="1A1A1A"/>
          <w:sz w:val="19"/>
          <w:szCs w:val="19"/>
        </w:rPr>
        <w:t xml:space="preserve">6.3. Mechanistic finding: why timing was at chance</w:t>
      </w:r>
    </w:p>
    <w:p>
      <w:pPr>
        <w:spacing w:after="20" w:line="240"/>
        <w:ind w:firstLine="220"/>
        <w:jc w:val="both"/>
      </w:pPr>
      <w:r>
        <w:rPr>
          <w:rFonts w:ascii="Palatino Linotype" w:cs="Palatino Linotype" w:eastAsia="Palatino Linotype" w:hAnsi="Palatino Linotype"/>
          <w:sz w:val="19"/>
          <w:szCs w:val="19"/>
        </w:rPr>
        <w:t xml:space="preserve">Before this work weeks-to-peak scored Spearman 0.07 [−0.43; +0.53] — chance level. Forensics localized the cause: all three implemented forcing shapes (step, linear, exp) peak at onset, and the ratchet state update renders a declining forcing as a rectangular pulse — 12 of 15 predicted peaks fell on week 0. The engine lacked a “slowly rising shock” shape, which droughts, congestion and demand collapses require.</w:t>
      </w:r>
    </w:p>
    <w:p>
      <w:pPr>
        <w:spacing w:after="20" w:line="240"/>
        <w:ind w:firstLine="220"/>
        <w:jc w:val="both"/>
      </w:pPr>
      <w:r>
        <w:rPr>
          <w:rFonts w:ascii="Palatino Linotype" w:cs="Palatino Linotype" w:eastAsia="Palatino Linotype" w:hAnsi="Palatino Linotype"/>
          <w:sz w:val="19"/>
          <w:szCs w:val="19"/>
        </w:rPr>
        <w:t xml:space="preserve">The fix: a ramp shape (linear rise) was added and four events were moved to it </w:t>
      </w:r>
      <w:r>
        <w:rPr>
          <w:rFonts w:ascii="Palatino Linotype" w:cs="Palatino Linotype" w:eastAsia="Palatino Linotype" w:hAnsi="Palatino Linotype"/>
          <w:b/>
          <w:bCs/>
          <w:sz w:val="19"/>
          <w:szCs w:val="19"/>
        </w:rPr>
        <w:t xml:space="preserve">by real-world mechanism, declared before running</w:t>
      </w:r>
      <w:r>
        <w:rPr>
          <w:rFonts w:ascii="Palatino Linotype" w:cs="Palatino Linotype" w:eastAsia="Palatino Linotype" w:hAnsi="Palatino Linotype"/>
          <w:sz w:val="19"/>
          <w:szCs w:val="19"/>
        </w:rPr>
        <w:t xml:space="preserve">. The pre-registered four-criterion gate passed: weeks-to-peak Spearman 0.07 → 0.69; other axes drop 0.00; benchmark cost +0.0001 MAE; untouched events bit-identical (Figure 3).</w:t>
      </w:r>
    </w:p>
    <w:p>
      <w:pPr>
        <w:sectPr>
          <w:type w:val="continuous"/>
          <w:pgSz w:w="11906" w:h="16838" w:orient="portrait"/>
          <w:pgMar w:top="1134" w:right="1134" w:bottom="1134" w:left="1134" w:header="708" w:footer="708" w:gutter="0"/>
          <w:pgNumType/>
          <w:cols w:space="454" w:num="2" w:equalWidth="true"/>
          <w:docGrid w:linePitch="360"/>
        </w:sectPr>
      </w:pPr>
    </w:p>
    <w:p>
      <w:pPr>
        <w:spacing w:after="30" w:before="60"/>
        <w:jc w:val="center"/>
      </w:pPr>
      <w:r>
        <w:drawing>
          <wp:inline distT="0" distB="0" distL="0" distR="0">
            <wp:extent cx="5143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9570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3.</w:t>
      </w:r>
      <w:r>
        <w:rPr>
          <w:rFonts w:ascii="Palatino Linotype" w:cs="Palatino Linotype" w:eastAsia="Palatino Linotype" w:hAnsi="Palatino Linotype"/>
          <w:sz w:val="16"/>
          <w:szCs w:val="16"/>
        </w:rPr>
        <w:t xml:space="preserve"> Weeks to peak: predicted vs. observed before (open) and after (filled) adopting the ramp shape; Spearman 0.07 → 0.69.</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6.4. Out-of-sample check and power analysis</w:t>
      </w:r>
    </w:p>
    <w:p>
      <w:pPr>
        <w:spacing w:after="20" w:line="240"/>
        <w:ind w:firstLine="220"/>
        <w:jc w:val="both"/>
      </w:pPr>
      <w:r>
        <w:rPr>
          <w:rFonts w:ascii="Palatino Linotype" w:cs="Palatino Linotype" w:eastAsia="Palatino Linotype" w:hAnsi="Palatino Linotype"/>
          <w:sz w:val="19"/>
          <w:szCs w:val="19"/>
        </w:rPr>
        <w:t xml:space="preserve">27-fold LOO with per-fold DE recalibration: MAE 0.0192, RMSE 0.0422, Pearson 0.25, Spearman 0.56, R² −0.70. Paired vs. Leontief: ΔMAE +0.0024 [−0.0073; +0.0167], p=0.89 — parity holds out-of-sample too. Two systematic misses are stated honestly: Chi-Chi 1999 (0.19 vs. 0.005 — the source node does not heal within the horizon) and the 2008–09 crisis (0.051 vs. 0.130 — a demand collapse is structurally unlike the supply cascades the engine models).</w:t>
      </w:r>
    </w:p>
    <w:p>
      <w:pPr>
        <w:spacing w:after="20" w:line="240"/>
        <w:ind w:firstLine="220"/>
        <w:jc w:val="both"/>
      </w:pPr>
      <w:r>
        <w:rPr>
          <w:rFonts w:ascii="Palatino Linotype" w:cs="Palatino Linotype" w:eastAsia="Palatino Linotype" w:hAnsi="Palatino Linotype"/>
          <w:b/>
          <w:bCs/>
          <w:sz w:val="19"/>
          <w:szCs w:val="19"/>
        </w:rPr>
        <w:t xml:space="preserve">Parity is a power limit, not a proven equivalence</w:t>
      </w:r>
      <w:r>
        <w:rPr>
          <w:rFonts w:ascii="Palatino Linotype" w:cs="Palatino Linotype" w:eastAsia="Palatino Linotype" w:hAnsi="Palatino Linotype"/>
          <w:sz w:val="19"/>
          <w:szCs w:val="19"/>
        </w:rPr>
        <w:t xml:space="preserve"> (Table 3). At N=27 the minimum detectable effect for GEDS/Leontief is 0.0184, whereas the observed differences ~0.004–0.007 lie below resolution. Resolving the observed difference would require ≈166 events. This turns the null into a bounded, actionable statement and a target for the dataset.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3.</w:t>
      </w:r>
      <w:r>
        <w:rPr>
          <w:rFonts w:ascii="Palatino Linotype" w:cs="Palatino Linotype" w:eastAsia="Palatino Linotype" w:hAnsi="Palatino Linotype"/>
          <w:sz w:val="16"/>
          <w:szCs w:val="16"/>
        </w:rPr>
        <w:t xml:space="preserve"> Power analysis: minimum detectable effect at N=27 and the N required for the observed difference.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800"/>
        <w:gridCol w:w="1800"/>
        <w:gridCol w:w="18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Pair</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obs. ΔMAE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MDE at N=27</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 to detect</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Leontief</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≈166</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linear diffusion</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0.0149</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≈119</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vs naive</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≈69</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6.5. Spatial: network completeness, not tuning</w:t>
      </w:r>
    </w:p>
    <w:p>
      <w:pPr>
        <w:spacing w:after="20" w:line="240"/>
        <w:ind w:firstLine="220"/>
        <w:jc w:val="both"/>
      </w:pPr>
      <w:r>
        <w:rPr>
          <w:rFonts w:ascii="Palatino Linotype" w:cs="Palatino Linotype" w:eastAsia="Palatino Linotype" w:hAnsi="Palatino Linotype"/>
          <w:sz w:val="19"/>
          <w:szCs w:val="19"/>
        </w:rPr>
        <w:t xml:space="preserve">Same engine, same shocks — only the graph changes (Table 4). The dense graph closes exactly the gaps the hand-built one could not express (the Renesas-fire cascade into foreign automotive: 0/4 → 3/4). Onset order on reached nodes ranks well (Spearman 0.79). No parameter changed: </w:t>
      </w:r>
      <w:r>
        <w:rPr>
          <w:rFonts w:ascii="Palatino Linotype" w:cs="Palatino Linotype" w:eastAsia="Palatino Linotype" w:hAnsi="Palatino Linotype"/>
          <w:b/>
          <w:bCs/>
          <w:sz w:val="19"/>
          <w:szCs w:val="19"/>
        </w:rPr>
        <w:t xml:space="preserve">the binding constraint is network completeness, not the fineness of the dynamics</w:t>
      </w:r>
      <w:r>
        <w:rPr>
          <w:rFonts w:ascii="Palatino Linotype" w:cs="Palatino Linotype" w:eastAsia="Palatino Linotype" w:hAnsi="Palatino Linotype"/>
          <w:sz w:val="19"/>
          <w:szCs w:val="19"/>
        </w:rPr>
        <w:t xml:space="preserve"> (Figure 4).</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4.</w:t>
      </w:r>
      <w:r>
        <w:rPr>
          <w:rFonts w:ascii="Palatino Linotype" w:cs="Palatino Linotype" w:eastAsia="Palatino Linotype" w:hAnsi="Palatino Linotype"/>
          <w:sz w:val="16"/>
          <w:szCs w:val="16"/>
        </w:rPr>
        <w:t xml:space="preserve"> Cascade spatial reach: hand-built graph v2 vs. the ICIO graph v3.</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2000"/>
        <w:gridCol w:w="380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Graph</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Nodes</w:t>
            </w:r>
          </w:p>
        </w:tc>
        <w:tc>
          <w:tcPr>
            <w:tcW w:type="dxa" w:w="3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Spatial recall</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hand-built</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36</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0.29 (10/35)</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OECD ICIO 2019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405</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0.79 (30/38)</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81952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4.</w:t>
      </w:r>
      <w:r>
        <w:rPr>
          <w:rFonts w:ascii="Palatino Linotype" w:cs="Palatino Linotype" w:eastAsia="Palatino Linotype" w:hAnsi="Palatino Linotype"/>
          <w:sz w:val="16"/>
          <w:szCs w:val="16"/>
        </w:rPr>
        <w:t xml:space="preserve"> Cascade spatial reach per event: share of historically-hit nodes reached on the hand-built graph v2 (open) and the ICIO graph v3 (filled).</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6.6. Component ablation: what of the complex model actually works</w:t>
      </w:r>
    </w:p>
    <w:p>
      <w:pPr>
        <w:spacing w:after="20" w:line="240"/>
        <w:ind w:firstLine="220"/>
        <w:jc w:val="both"/>
      </w:pPr>
      <w:r>
        <w:rPr>
          <w:rFonts w:ascii="Palatino Linotype" w:cs="Palatino Linotype" w:eastAsia="Palatino Linotype" w:hAnsi="Palatino Linotype"/>
          <w:sz w:val="19"/>
          <w:szCs w:val="19"/>
        </w:rPr>
        <w:t xml:space="preserve">The standard question of a multi-component model is which parts carry weight. A component ablation (N=27, each component disabled in turn — Table 5) answers it, and the headline of that answer is that the table is NOT a ranking of components. Not one of the six differences is distinguishable from zero: every 95% CI spans zero and every Holm-adjusted p equals 1.00. Each |ΔMAE| here (0.0076 at most) is smaller than the benchmark's own minimum detectable effect (0.018 at 80% power). At N=27 this benchmark cannot tell any engine component apart from any other. The point estimates do all point one way — the SEIRS state machine (−0.0076) and the hysteresis floor (−0.0074) cost accuracy, and the 0.0002 gap between them means essentially the entire cost of SEIRS is the R-state floor rather than the S/E/I transitions — but that cannot be claimed as a result: the signal is below the resolution of the set. Correction note: in the previous version the −SEIS row read 0.0242 with ΔMAE exactly 0.0000. That was a code defect (the seis_enabled flag did not take effect because update_seis was called unconditionally), not a property of the model. The true ablation is 0.0166; the §6.1 headline numbers are unaffected.</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5.</w:t>
      </w:r>
      <w:r>
        <w:rPr>
          <w:rFonts w:ascii="Palatino Linotype" w:cs="Palatino Linotype" w:eastAsia="Palatino Linotype" w:hAnsi="Palatino Linotype"/>
          <w:sz w:val="16"/>
          <w:szCs w:val="16"/>
        </w:rPr>
        <w:t xml:space="preserve"> Component ablation of the engine (N=27): each component's contribution to MAE.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1400"/>
        <w:gridCol w:w="3400"/>
        <w:gridCol w:w="12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Variant</w:t>
            </w:r>
          </w:p>
        </w:tc>
        <w:tc>
          <w:tcPr>
            <w:tcW w:type="dxa" w:w="1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3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ΔMAE vs. full [95% CI]</w:t>
            </w:r>
          </w:p>
        </w:tc>
        <w:tc>
          <w:tcPr>
            <w:tcW w:type="dxa" w:w="1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 (Holm)</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Full engine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−SEIS (no state machine)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−0.0076 [−0.0206,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−R-state floor</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0.0169</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 [−0.0200,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pure linear diffusion</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 [−0.0182,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+per-node recovery</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0.0233</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−0.0009 [−0.0029,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−adaptive rerouting</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−0.0000 [−0.0001,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 (β = 1)</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+0.0023 [−0.0009, +0.0079]</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6.7. Parameter sensitivity and identifiability</w:t>
      </w:r>
    </w:p>
    <w:p>
      <w:pPr>
        <w:spacing w:after="20" w:line="240"/>
        <w:ind w:firstLine="220"/>
        <w:jc w:val="both"/>
      </w:pPr>
      <w:r>
        <w:rPr>
          <w:rFonts w:ascii="Palatino Linotype" w:cs="Palatino Linotype" w:eastAsia="Palatino Linotype" w:hAnsi="Palatino Linotype"/>
          <w:sz w:val="19"/>
          <w:szCs w:val="19"/>
        </w:rPr>
        <w:t xml:space="preserve">A variance-based Sobol sensitivity analysis (1536 engine runs, output mean_industry_loss_MAE, N=27 — Table 6) asks whether the five parameters are identifiable. Two parameters carry the output variance — recovery_rate (ST 0.62) and inventory_scale (ST 0.59) — and their low first-order indices (S1 0.39 and 0.42) against high total effects signal strong interaction between them (ST sum ≈ 1.30 ≫ 1); two parameters are negligible and can be fixed, and one is minor. Thus three of five parameters are effectively non-identifiable individually, with the fitting freedom concentrated in a strongly-coupled (recovery_rate, inventory_scale) pair. This independently corroborates §6.6 (the model is over-complex relative to what the N=27 data can constrain) and explains why per-fold recalibration (§6.4) so easily masks structural edits. (MCMC at 350 steps did not converge, r̂=2.03; Bayesian intervals are left to a longer future run.)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6.</w:t>
      </w:r>
      <w:r>
        <w:rPr>
          <w:rFonts w:ascii="Palatino Linotype" w:cs="Palatino Linotype" w:eastAsia="Palatino Linotype" w:hAnsi="Palatino Linotype"/>
          <w:sz w:val="16"/>
          <w:szCs w:val="16"/>
        </w:rPr>
        <w:t xml:space="preserve"> Sobol sensitivity indices (N=27): total effect ST and first-order S1 for the five parameters.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238"/>
        <w:gridCol w:w="1600"/>
        <w:gridCol w:w="1600"/>
        <w:gridCol w:w="3200"/>
      </w:tblGrid>
      <w:tr>
        <w:trPr>
          <w:tblHeader/>
        </w:trPr>
        <w:tc>
          <w:tcPr>
            <w:tcW w:type="dxa" w:w="3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Parameter</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ST</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S1</w:t>
            </w:r>
          </w:p>
        </w:tc>
        <w:tc>
          <w:tcPr>
            <w:tcW w:type="dxa" w:w="3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Reading</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recovery_rate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0.392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inventory_scale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0.592</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0.416</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bullwhip_factor</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0.011</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minor</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amplification_mu</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distress_base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6.8. Structure versus tuning: the dense graph with a single parameter</w:t>
      </w:r>
    </w:p>
    <w:p>
      <w:pPr>
        <w:spacing w:after="20" w:line="240"/>
        <w:ind w:firstLine="220"/>
        <w:jc w:val="both"/>
      </w:pPr>
      <w:r>
        <w:rPr>
          <w:rFonts w:ascii="Palatino Linotype" w:cs="Palatino Linotype" w:eastAsia="Palatino Linotype" w:hAnsi="Palatino Linotype"/>
          <w:sz w:val="19"/>
          <w:szCs w:val="19"/>
        </w:rPr>
        <w:t xml:space="preserve">Section 6.5 showed the ICIO graph reaches far more of the observed cascade, but its magnitudes were never scored: v3's parameters are uncalibrated structural priors and its predictions run roughly four times hot. Is that a shape error or a scale error?</w:t>
      </w:r>
    </w:p>
    <w:p>
      <w:pPr>
        <w:spacing w:after="20" w:line="240"/>
        <w:ind w:firstLine="220"/>
        <w:jc w:val="both"/>
      </w:pPr>
      <w:r>
        <w:rPr>
          <w:rFonts w:ascii="Palatino Linotype" w:cs="Palatino Linotype" w:eastAsia="Palatino Linotype" w:hAnsi="Palatino Linotype"/>
          <w:sz w:val="19"/>
          <w:szCs w:val="19"/>
        </w:rPr>
        <w:t xml:space="preserve">It is scale. At default parameters the raw v3 ranks events markedly better than the fully calibrated v2 (Spearman 0.80 vs. 0.44) while systematically over-predicting (mean prediction 0.090 vs. observed 0.023). We added a </w:t>
      </w:r>
      <w:r>
        <w:rPr>
          <w:rFonts w:ascii="Palatino Linotype" w:cs="Palatino Linotype" w:eastAsia="Palatino Linotype" w:hAnsi="Palatino Linotype"/>
          <w:b/>
          <w:bCs/>
          <w:sz w:val="19"/>
          <w:szCs w:val="19"/>
        </w:rPr>
        <w:t xml:space="preserve">single</w:t>
      </w:r>
      <w:r>
        <w:rPr>
          <w:rFonts w:ascii="Palatino Linotype" w:cs="Palatino Linotype" w:eastAsia="Palatino Linotype" w:hAnsi="Palatino Linotype"/>
          <w:sz w:val="19"/>
          <w:szCs w:val="19"/>
        </w:rPr>
        <w:t xml:space="preserve"> free quantity — a global scale factor fitted </w:t>
      </w:r>
      <w:r>
        <w:rPr>
          <w:rFonts w:ascii="Palatino Linotype" w:cs="Palatino Linotype" w:eastAsia="Palatino Linotype" w:hAnsi="Palatino Linotype"/>
          <w:b/>
          <w:bCs/>
          <w:sz w:val="19"/>
          <w:szCs w:val="19"/>
        </w:rPr>
        <w:t xml:space="preserve">out-of-sample</w:t>
      </w:r>
      <w:r>
        <w:rPr>
          <w:rFonts w:ascii="Palatino Linotype" w:cs="Palatino Linotype" w:eastAsia="Palatino Linotype" w:hAnsi="Palatino Linotype"/>
          <w:sz w:val="19"/>
          <w:szCs w:val="19"/>
        </w:rPr>
        <w:t xml:space="preserve"> (leave-one-out: k is least-squares estimated on the other N−1 events and applied to the held-out one). Chokepoint events have no v3 representation, so all models are scored on the same 24 events (Table 7). The mean LOO factor k ≈ 0.26 is stable across folds.</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The dense ICIO graph with one out-of-sample scale factor versus the calibrated v2 engine and the zero-parameter baselines (same 24 events).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1900"/>
        <w:gridCol w:w="1950"/>
        <w:gridCol w:w="195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1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Free params</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 LOO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+0.331</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+0.707</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0.0227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v2 (calibrated)</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raw (no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0.0677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+0.802</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This is the first configuration to lead </w:t>
      </w:r>
      <w:r>
        <w:rPr>
          <w:rFonts w:ascii="Palatino Linotype" w:cs="Palatino Linotype" w:eastAsia="Palatino Linotype" w:hAnsi="Palatino Linotype"/>
          <w:b/>
          <w:bCs/>
          <w:sz w:val="19"/>
          <w:szCs w:val="19"/>
        </w:rPr>
        <w:t xml:space="preserve">every metric at once</w:t>
      </w:r>
      <w:r>
        <w:rPr>
          <w:rFonts w:ascii="Palatino Linotype" w:cs="Palatino Linotype" w:eastAsia="Palatino Linotype" w:hAnsi="Palatino Linotype"/>
          <w:sz w:val="19"/>
          <w:szCs w:val="19"/>
        </w:rPr>
        <w:t xml:space="preserve"> — achieved with one parameter instead of five. </w:t>
      </w:r>
      <w:r>
        <w:rPr>
          <w:rFonts w:ascii="Palatino Linotype" w:cs="Palatino Linotype" w:eastAsia="Palatino Linotype" w:hAnsi="Palatino Linotype"/>
          <w:b/>
          <w:bCs/>
          <w:sz w:val="19"/>
          <w:szCs w:val="19"/>
        </w:rPr>
        <w:t xml:space="preserve">What we do not claim:</w:t>
      </w:r>
      <w:r>
        <w:rPr>
          <w:rFonts w:ascii="Palatino Linotype" w:cs="Palatino Linotype" w:eastAsia="Palatino Linotype" w:hAnsi="Palatino Linotype"/>
          <w:sz w:val="19"/>
          <w:szCs w:val="19"/>
        </w:rPr>
        <w:t xml:space="preserve"> no advantage is significant — against Leontief ΔMAE −0.0049 (p = 0.34), against linear diffusion −0.0052 (p = 0.50), against the naive mean −0.0094 (p = 0.06), against v2 −0.0132 (p = 0.17). The §6.1 parity finding is therefore not overturned but confirmed once more, now on the best available configuration: even it does not separate from the baselines at this N — exactly what the §6.4 power analysis predicts.</w:t>
      </w:r>
    </w:p>
    <w:p>
      <w:pPr>
        <w:spacing w:after="20" w:line="240"/>
        <w:ind w:firstLine="220"/>
        <w:jc w:val="both"/>
      </w:pPr>
      <w:r>
        <w:rPr>
          <w:rFonts w:ascii="Palatino Linotype" w:cs="Palatino Linotype" w:eastAsia="Palatino Linotype" w:hAnsi="Palatino Linotype"/>
          <w:sz w:val="19"/>
          <w:szCs w:val="19"/>
        </w:rPr>
        <w:t xml:space="preserve">The substantive meaning lies elsewhere. Replacing the hand-built graph with measured input–output structure buys more on magnitude than calibrating five dynamics parameters on the hand-built graph (0.0133 vs. 0.0266) — the magnitude-axis counterpart of the spatial result in §6.5. Both point the same way: </w:t>
      </w:r>
      <w:r>
        <w:rPr>
          <w:rFonts w:ascii="Palatino Linotype" w:cs="Palatino Linotype" w:eastAsia="Palatino Linotype" w:hAnsi="Palatino Linotype"/>
          <w:b/>
          <w:bCs/>
          <w:sz w:val="19"/>
          <w:szCs w:val="19"/>
        </w:rPr>
        <w:t xml:space="preserve">the information carried by network completeness and accuracy is not substitutable by parameter tuning.</w:t>
      </w:r>
    </w:p>
    <w:p>
      <w:pPr>
        <w:keepNext/>
        <w:spacing w:after="50" w:before="140"/>
      </w:pPr>
      <w:r>
        <w:rPr>
          <w:rFonts w:ascii="Palatino Linotype" w:cs="Palatino Linotype" w:eastAsia="Palatino Linotype" w:hAnsi="Palatino Linotype"/>
          <w:b/>
          <w:bCs/>
          <w:i/>
          <w:iCs/>
          <w:color w:val="1A1A1A"/>
          <w:sz w:val="19"/>
          <w:szCs w:val="19"/>
        </w:rPr>
        <w:t xml:space="preserve">6.9. Full v3 calibration: five parameters are significantly WORSE than one</w:t>
      </w:r>
    </w:p>
    <w:p>
      <w:pPr>
        <w:spacing w:after="20" w:line="240"/>
        <w:ind w:firstLine="220"/>
        <w:jc w:val="both"/>
      </w:pPr>
      <w:r>
        <w:rPr>
          <w:rFonts w:ascii="Palatino Linotype" w:cs="Palatino Linotype" w:eastAsia="Palatino Linotype" w:hAnsi="Palatino Linotype"/>
          <w:sz w:val="19"/>
          <w:szCs w:val="19"/>
        </w:rPr>
        <w:t xml:space="preserve">The five-parameter LOO calibration on the dense graph (24 folds, per-fold differential evolution) was run and returns an unexpected result — Table 7. Pairwise, one parameter against five: ΔMAE = −0.0148, 95% CI [−0.0292, −0.0031], raw p = 0.037. But this comparison belongs to a family of five tests against a common reference, and after Holm correction the adjusted p is 0.18: zero differences in that family are significant. A previous version of this work called this 'the only statistically significant model difference anywhere'; the correct statement is that on the magnitude axis this work contains no difference that survives correction for multiplicity. The point estimate nonetheless points the same way as everything else: on a 405-node graph with ~23 training events per fold, four extra degrees of freedom do not pay for themselves. It converges with §6.6 (no ablation is significant), §6.7 (three of five parameters pinned to their prior bounds, one varying 35-fold when a single event is dropped) and §6.1 (insufficient power) — four independent methods reaching the same over-parameterization verdict.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Full out-of-sample comparison on the dense v3 graph (24 folds, leave-one-out).</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600"/>
        <w:gridCol w:w="1800"/>
        <w:gridCol w:w="20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Configuration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Params</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single LOO-fitted 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five per-fold DE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0.0281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+0.565</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 five calibrated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 diffusion / naive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 / 0.0185 / 0.0227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6.10. The dense graph closes both structural walls</w:t>
      </w:r>
    </w:p>
    <w:p>
      <w:pPr>
        <w:spacing w:after="20" w:line="240"/>
        <w:ind w:firstLine="220"/>
        <w:jc w:val="both"/>
      </w:pPr>
      <w:r>
        <w:rPr>
          <w:rFonts w:ascii="Palatino Linotype" w:cs="Palatino Linotype" w:eastAsia="Palatino Linotype" w:hAnsi="Palatino Linotype"/>
          <w:sz w:val="19"/>
          <w:szCs w:val="19"/>
        </w:rPr>
        <w:t xml:space="preserve">The two systematic misses declared unsolved in §6.4 — and resistant to three pre-registered mechanism experiments — nearly vanish on the dense graph (out-of-sample, LOO-DE): Chi-Chi 1999 absolute error 0.188 → 0.014 (13.6×) and the 2008–09 crisis 0.079 → 0.028 (2.9×). This changes the diagnosis of both. Chi-Chi failed to heal, and the 2008–09 crisis was under-predicted, not because the engine lacked a mechanism but because a hand-built 41-node graph could not express the paths along which those shocks actually travelled. The three attempts to fix the dynamics (§5.3) failed precisely because they treated the wrong cause. </w:t>
      </w:r>
      <w:r>
        <w:rPr>
          <w:rFonts w:ascii="Palatino Linotype" w:cs="Palatino Linotype" w:eastAsia="Palatino Linotype" w:hAnsi="Palatino Linotype"/>
          <w:b/>
          <w:bCs/>
          <w:sz w:val="19"/>
          <w:szCs w:val="19"/>
        </w:rPr>
        <w:t xml:space="preserve">Both walls were network-coverage problems, not dynamics problems</w:t>
      </w:r>
      <w:r>
        <w:rPr>
          <w:rFonts w:ascii="Palatino Linotype" w:cs="Palatino Linotype" w:eastAsia="Palatino Linotype" w:hAnsi="Palatino Linotype"/>
          <w:sz w:val="19"/>
          <w:szCs w:val="19"/>
        </w:rPr>
        <w:t xml:space="preserve"> — the strongest confirmation of this paper's central claim.</w:t>
      </w:r>
    </w:p>
    <w:p>
      <w:pPr>
        <w:spacing w:after="20" w:line="240"/>
        <w:ind w:firstLine="220"/>
        <w:jc w:val="both"/>
      </w:pPr>
      <w:r>
        <w:rPr>
          <w:rFonts w:ascii="Palatino Linotype" w:cs="Palatino Linotype" w:eastAsia="Palatino Linotype" w:hAnsi="Palatino Linotype"/>
          <w:sz w:val="19"/>
          <w:szCs w:val="19"/>
        </w:rPr>
        <w:t xml:space="preserve">Honest caveats to §6.9–6.10: the event set here is 24 (chokepoint-only events have no v3 node), so these numbers are not directly comparable with the headline N=27; and the model class (a scale correction) was chosen after v3's behaviour was known — the scale itself is fitted leave-one-out, but the choice of that correction form was not pre-registered. The advantage over the zero-parameter baselines remains </w:t>
      </w:r>
      <w:r>
        <w:rPr>
          <w:rFonts w:ascii="Palatino Linotype" w:cs="Palatino Linotype" w:eastAsia="Palatino Linotype" w:hAnsi="Palatino Linotype"/>
          <w:b/>
          <w:bCs/>
          <w:sz w:val="19"/>
          <w:szCs w:val="19"/>
        </w:rPr>
        <w:t xml:space="preserve">non-significant</w:t>
      </w:r>
      <w:r>
        <w:rPr>
          <w:rFonts w:ascii="Palatino Linotype" w:cs="Palatino Linotype" w:eastAsia="Palatino Linotype" w:hAnsi="Palatino Linotype"/>
          <w:sz w:val="19"/>
          <w:szCs w:val="19"/>
        </w:rPr>
        <w:t xml:space="preserve"> (p = 0.06–0.50), so the §6.1 parity headline stands.</w:t>
      </w:r>
    </w:p>
    <w:p>
      <w:pPr>
        <w:keepNext/>
        <w:spacing w:after="50" w:before="140"/>
      </w:pPr>
      <w:r>
        <w:rPr>
          <w:rFonts w:ascii="Palatino Linotype" w:cs="Palatino Linotype" w:eastAsia="Palatino Linotype" w:hAnsi="Palatino Linotype"/>
          <w:b/>
          <w:bCs/>
          <w:i/>
          <w:iCs/>
          <w:color w:val="1A1A1A"/>
          <w:sz w:val="19"/>
          <w:szCs w:val="19"/>
        </w:rPr>
        <w:t xml:space="preserve">6.11. Would machine learning have done better?</w:t>
      </w:r>
    </w:p>
    <w:p>
      <w:pPr>
        <w:spacing w:after="20" w:line="240"/>
        <w:ind w:firstLine="220"/>
        <w:jc w:val="both"/>
      </w:pPr>
      <w:r>
        <w:rPr>
          <w:rFonts w:ascii="Palatino Linotype" w:cs="Palatino Linotype" w:eastAsia="Palatino Linotype" w:hAnsi="Palatino Linotype"/>
          <w:sz w:val="19"/>
          <w:szCs w:val="19"/>
        </w:rPr>
        <w:t xml:space="preserve">A natural objection to §6.1 is that all four models are mechanistic, and a flexible learner might find structure they miss. Tested directly: three learners on 11 event features knowable </w:t>
      </w:r>
      <w:r>
        <w:rPr>
          <w:rFonts w:ascii="Palatino Linotype" w:cs="Palatino Linotype" w:eastAsia="Palatino Linotype" w:hAnsi="Palatino Linotype"/>
          <w:b/>
          <w:bCs/>
          <w:sz w:val="19"/>
          <w:szCs w:val="19"/>
        </w:rPr>
        <w:t xml:space="preserve">before</w:t>
      </w:r>
      <w:r>
        <w:rPr>
          <w:rFonts w:ascii="Palatino Linotype" w:cs="Palatino Linotype" w:eastAsia="Palatino Linotype" w:hAnsi="Palatino Linotype"/>
          <w:sz w:val="19"/>
          <w:szCs w:val="19"/>
        </w:rPr>
        <w:t xml:space="preserve"> the outcome (shock magnitude, duration, horizon, number of shocks, forcing shape, chokepoint flag, the shocked node's world-GDP share, centrality and out-degree, and magnitude x duration). Evaluation is leave-one-out — every event predicted by a model that never saw it (Table 8).</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8.</w:t>
      </w:r>
      <w:r>
        <w:rPr>
          <w:rFonts w:ascii="Palatino Linotype" w:cs="Palatino Linotype" w:eastAsia="Palatino Linotype" w:hAnsi="Palatino Linotype"/>
          <w:sz w:val="16"/>
          <w:szCs w:val="16"/>
        </w:rPr>
        <w:t xml:space="preserve"> Learned versus mechanistic models: leave-one-out, 11 pre-outcome features.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2000"/>
        <w:gridCol w:w="1800"/>
        <w:gridCol w:w="16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Type</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Gradient boosting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+0.666</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Random forest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0.0167</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+0.504</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Ridge regression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+0.718</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trivial</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Gradient boosting posts the </w:t>
      </w:r>
      <w:r>
        <w:rPr>
          <w:rFonts w:ascii="Palatino Linotype" w:cs="Palatino Linotype" w:eastAsia="Palatino Linotype" w:hAnsi="Palatino Linotype"/>
          <w:b/>
          <w:bCs/>
          <w:sz w:val="19"/>
          <w:szCs w:val="19"/>
        </w:rPr>
        <w:t xml:space="preserve">best MAE of any model in this paper</w:t>
      </w:r>
      <w:r>
        <w:rPr>
          <w:rFonts w:ascii="Palatino Linotype" w:cs="Palatino Linotype" w:eastAsia="Palatino Linotype" w:hAnsi="Palatino Linotype"/>
          <w:sz w:val="19"/>
          <w:szCs w:val="19"/>
        </w:rPr>
        <w:t xml:space="preserve">, yet against the naive mean it gives dMAE = −0.0066, 95% CI [−0.0126, +0.0008], p = 0.066 — </w:t>
      </w:r>
      <w:r>
        <w:rPr>
          <w:rFonts w:ascii="Palatino Linotype" w:cs="Palatino Linotype" w:eastAsia="Palatino Linotype" w:hAnsi="Palatino Linotype"/>
          <w:b/>
          <w:bCs/>
          <w:sz w:val="19"/>
          <w:szCs w:val="19"/>
        </w:rPr>
        <w:t xml:space="preserve">not significant</w:t>
      </w:r>
      <w:r>
        <w:rPr>
          <w:rFonts w:ascii="Palatino Linotype" w:cs="Palatino Linotype" w:eastAsia="Palatino Linotype" w:hAnsi="Palatino Linotype"/>
          <w:sz w:val="19"/>
          <w:szCs w:val="19"/>
        </w:rPr>
        <w:t xml:space="preserve">; the other two learners are further away (p = 0.28 and 0.52).</w:t>
      </w:r>
    </w:p>
    <w:p>
      <w:pPr>
        <w:spacing w:after="20" w:line="240"/>
        <w:ind w:firstLine="220"/>
        <w:jc w:val="both"/>
      </w:pPr>
      <w:r>
        <w:rPr>
          <w:rFonts w:ascii="Palatino Linotype" w:cs="Palatino Linotype" w:eastAsia="Palatino Linotype" w:hAnsi="Palatino Linotype"/>
          <w:b/>
          <w:bCs/>
          <w:sz w:val="19"/>
          <w:szCs w:val="19"/>
        </w:rPr>
        <w:t xml:space="preserve">A methodological finding surfaced by this check.</w:t>
      </w:r>
      <w:r>
        <w:rPr>
          <w:rFonts w:ascii="Palatino Linotype" w:cs="Palatino Linotype" w:eastAsia="Palatino Linotype" w:hAnsi="Palatino Linotype"/>
          <w:sz w:val="19"/>
          <w:szCs w:val="19"/>
        </w:rPr>
        <w:t xml:space="preserve"> The first feature set one-hot encoded observed.most_impacted_industry. The mechanistic baselines read that field too, but only to select which aggregate to report, whereas a learner can mine it as outcome information. With it, gradient boosting reached MAE 0.0114 and beat the naive mean </w:t>
      </w:r>
      <w:r>
        <w:rPr>
          <w:rFonts w:ascii="Palatino Linotype" w:cs="Palatino Linotype" w:eastAsia="Palatino Linotype" w:hAnsi="Palatino Linotype"/>
          <w:b/>
          <w:bCs/>
          <w:sz w:val="19"/>
          <w:szCs w:val="19"/>
        </w:rPr>
        <w:t xml:space="preserve">significantly</w:t>
      </w:r>
      <w:r>
        <w:rPr>
          <w:rFonts w:ascii="Palatino Linotype" w:cs="Palatino Linotype" w:eastAsia="Palatino Linotype" w:hAnsi="Palatino Linotype"/>
          <w:sz w:val="19"/>
          <w:szCs w:val="19"/>
        </w:rPr>
        <w:t xml:space="preserve"> (p = 0.015); without it the significance disappears. The feature was removed and both versions are recorded in the artifact — the gap between them shows how easily leakage passes for discovery at N=27.</w:t>
      </w:r>
    </w:p>
    <w:p>
      <w:pPr>
        <w:spacing w:after="20" w:line="240"/>
        <w:ind w:firstLine="220"/>
        <w:jc w:val="both"/>
      </w:pPr>
      <w:r>
        <w:rPr>
          <w:rFonts w:ascii="Palatino Linotype" w:cs="Palatino Linotype" w:eastAsia="Palatino Linotype" w:hAnsi="Palatino Linotype"/>
          <w:sz w:val="19"/>
          <w:szCs w:val="19"/>
        </w:rPr>
        <w:t xml:space="preserve">This agrees with §6.4: the ceiling is set by the </w:t>
      </w:r>
      <w:r>
        <w:rPr>
          <w:rFonts w:ascii="Palatino Linotype" w:cs="Palatino Linotype" w:eastAsia="Palatino Linotype" w:hAnsi="Palatino Linotype"/>
          <w:b/>
          <w:bCs/>
          <w:sz w:val="19"/>
          <w:szCs w:val="19"/>
        </w:rPr>
        <w:t xml:space="preserve">data, not the choice of model</w:t>
      </w:r>
      <w:r>
        <w:rPr>
          <w:rFonts w:ascii="Palatino Linotype" w:cs="Palatino Linotype" w:eastAsia="Palatino Linotype" w:hAnsi="Palatino Linotype"/>
          <w:sz w:val="19"/>
          <w:szCs w:val="19"/>
        </w:rPr>
        <w:t xml:space="preserve">. Caveat: 27 events and 11 features is a regime hostile to any learner, and this is not evidence that machine learning cannot work on a larger benchmark.</w:t>
      </w:r>
    </w:p>
    <w:p>
      <w:pPr>
        <w:keepNext/>
        <w:spacing w:after="70" w:before="200"/>
      </w:pPr>
      <w:r>
        <w:rPr>
          <w:rFonts w:ascii="Palatino Linotype" w:cs="Palatino Linotype" w:eastAsia="Palatino Linotype" w:hAnsi="Palatino Linotype"/>
          <w:b/>
          <w:bCs/>
          <w:color w:val="1A1A1A"/>
          <w:sz w:val="21"/>
          <w:szCs w:val="21"/>
        </w:rPr>
        <w:t xml:space="preserve">7. Discussion</w:t>
      </w:r>
    </w:p>
    <w:p>
      <w:pPr>
        <w:spacing w:after="20" w:line="240"/>
        <w:ind w:firstLine="220"/>
        <w:jc w:val="both"/>
      </w:pPr>
      <w:r>
        <w:rPr>
          <w:rFonts w:ascii="Palatino Linotype" w:cs="Palatino Linotype" w:eastAsia="Palatino Linotype" w:hAnsi="Palatino Linotype"/>
          <w:sz w:val="19"/>
          <w:szCs w:val="19"/>
        </w:rPr>
        <w:t xml:space="preserve">Three results combine into one conclusion. (1) On the axis almost every paper reports — point magnitude — four fundamentally different models are statistically indistinguishable, and this is not an artifact of weak tuning: the parity survives per-fold recalibration and is quantitatively power-limited. (2) The axes that do separate the models are temporal and spatial: where only a full dynamic model can even compete, its results are significant (0.69 and 0.88). (3) The largest measured quality gain came not from dynamics but from network-structure data (recall 0.29 → 0.79, free in parameters).</w:t>
      </w:r>
    </w:p>
    <w:p>
      <w:pPr>
        <w:spacing w:after="20" w:line="240"/>
        <w:ind w:firstLine="220"/>
        <w:jc w:val="both"/>
      </w:pPr>
      <w:r>
        <w:rPr>
          <w:rFonts w:ascii="Palatino Linotype" w:cs="Palatino Linotype" w:eastAsia="Palatino Linotype" w:hAnsi="Palatino Linotype"/>
          <w:sz w:val="19"/>
          <w:szCs w:val="19"/>
        </w:rPr>
        <w:t xml:space="preserve">Practical takeaway: cascade models should be validated by “predict the pattern, not one number,” or leaderboards compare noise. Methodological takeaway: pre-registering gates turns negative results into publishable assets.</w:t>
      </w:r>
    </w:p>
    <w:p>
      <w:pPr>
        <w:keepNext/>
        <w:spacing w:after="70" w:before="200"/>
      </w:pPr>
      <w:r>
        <w:rPr>
          <w:rFonts w:ascii="Palatino Linotype" w:cs="Palatino Linotype" w:eastAsia="Palatino Linotype" w:hAnsi="Palatino Linotype"/>
          <w:b/>
          <w:bCs/>
          <w:color w:val="1A1A1A"/>
          <w:sz w:val="21"/>
          <w:szCs w:val="21"/>
        </w:rPr>
        <w:t xml:space="preserve">8. Limitations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N=27</w:t>
      </w:r>
      <w:r>
        <w:rPr>
          <w:rFonts w:ascii="Palatino Linotype" w:cs="Palatino Linotype" w:eastAsia="Palatino Linotype" w:hAnsi="Palatino Linotype"/>
          <w:sz w:val="19"/>
          <w:szCs w:val="19"/>
        </w:rPr>
        <w:t xml:space="preserve"> for Track A and n=5/15/11 for Track B — power is limited; absence of significance is not equivalence (§6.4).</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The node-magnitude axis is empty</w:t>
      </w:r>
      <w:r>
        <w:rPr>
          <w:rFonts w:ascii="Palatino Linotype" w:cs="Palatino Linotype" w:eastAsia="Palatino Linotype" w:hAnsi="Palatino Linotype"/>
          <w:sz w:val="19"/>
          <w:szCs w:val="19"/>
        </w:rPr>
        <w:t xml:space="preserve"> (n=5, CI [−1; 1]): monthly fab-output indices are seldom published.</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Two structural misses</w:t>
      </w:r>
      <w:r>
        <w:rPr>
          <w:rFonts w:ascii="Palatino Linotype" w:cs="Palatino Linotype" w:eastAsia="Palatino Linotype" w:hAnsi="Palatino Linotype"/>
          <w:sz w:val="19"/>
          <w:szCs w:val="19"/>
        </w:rPr>
        <w:t xml:space="preserve"> (Chi-Chi, the 2008–09 crisis) are described but not solved; three fix attempts were rejected by the out-of-sample gate.</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Baselines are canonical rather than published implementations</w:t>
      </w:r>
      <w:r>
        <w:rPr>
          <w:rFonts w:ascii="Palatino Linotype" w:cs="Palatino Linotype" w:eastAsia="Palatino Linotype" w:hAnsi="Palatino Linotype"/>
          <w:sz w:val="19"/>
          <w:szCs w:val="19"/>
        </w:rPr>
        <w:t xml:space="preserve">: comparison against published cascade models [11,12] is the next step.</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Event selection is biased toward the documented</w:t>
      </w:r>
      <w:r>
        <w:rPr>
          <w:rFonts w:ascii="Palatino Linotype" w:cs="Palatino Linotype" w:eastAsia="Palatino Linotype" w:hAnsi="Palatino Linotype"/>
          <w:sz w:val="19"/>
          <w:szCs w:val="19"/>
        </w:rPr>
        <w:t xml:space="preserve"> — now measured rather than assumed, see below.</w:t>
      </w:r>
    </w:p>
    <w:p>
      <w:pPr>
        <w:keepNext/>
        <w:spacing w:after="50" w:before="140"/>
      </w:pPr>
      <w:r>
        <w:rPr>
          <w:rFonts w:ascii="Palatino Linotype" w:cs="Palatino Linotype" w:eastAsia="Palatino Linotype" w:hAnsi="Palatino Linotype"/>
          <w:b/>
          <w:bCs/>
          <w:i/>
          <w:iCs/>
          <w:color w:val="1A1A1A"/>
          <w:sz w:val="19"/>
          <w:szCs w:val="19"/>
        </w:rPr>
        <w:t xml:space="preserve">8.1. Measured selection bias</w:t>
      </w:r>
    </w:p>
    <w:p>
      <w:pPr>
        <w:spacing w:after="20" w:line="240"/>
        <w:ind w:firstLine="220"/>
        <w:jc w:val="both"/>
      </w:pPr>
      <w:r>
        <w:rPr>
          <w:rFonts w:ascii="Palatino Linotype" w:cs="Palatino Linotype" w:eastAsia="Palatino Linotype" w:hAnsi="Palatino Linotype"/>
          <w:sz w:val="19"/>
          <w:szCs w:val="19"/>
        </w:rPr>
        <w:t xml:space="preserve">EM-DAT (CRED/UCLouvain, 19,651 disasters) provides an external population against which the benchmark's coverage can be measured. For disasters in our 12 countries since 1995 we cover 54% of those causing &gt;=$50bn damage, 19% of &gt;=$10bn, 10% of &gt;=$5bn and 9% of &gt;=$1bn. The gradient IS the bias: most of the very largest disruptions are covered and progressively fewer mid-sized ones. The misses are systematic rather than arbitrary — the largest uncovered events (Wenchuan 2008, hurricanes Ian/Sandy/Helene, the 1998 China floods) inflict damage mainly on housing and infrastructure rather than the manufacturing capacity the benchmark calibrates on; Harvey 2017 is included precisely because it struck petrochemicals.</w:t>
      </w:r>
    </w:p>
    <w:p>
      <w:pPr>
        <w:spacing w:after="20" w:line="240"/>
        <w:ind w:firstLine="220"/>
        <w:jc w:val="both"/>
      </w:pPr>
      <w:r>
        <w:rPr>
          <w:rFonts w:ascii="Palatino Linotype" w:cs="Palatino Linotype" w:eastAsia="Palatino Linotype" w:hAnsi="Palatino Linotype"/>
          <w:sz w:val="19"/>
          <w:szCs w:val="19"/>
        </w:rPr>
        <w:t xml:space="preserve">A tempting route to a larger N was tested and </w:t>
      </w:r>
      <w:r>
        <w:rPr>
          <w:rFonts w:ascii="Palatino Linotype" w:cs="Palatino Linotype" w:eastAsia="Palatino Linotype" w:hAnsi="Palatino Linotype"/>
          <w:b/>
          <w:bCs/>
          <w:sz w:val="19"/>
          <w:szCs w:val="19"/>
        </w:rPr>
        <w:t xml:space="preserve">rejected</w:t>
      </w:r>
      <w:r>
        <w:rPr>
          <w:rFonts w:ascii="Palatino Linotype" w:cs="Palatino Linotype" w:eastAsia="Palatino Linotype" w:hAnsi="Palatino Linotype"/>
          <w:sz w:val="19"/>
          <w:szCs w:val="19"/>
        </w:rPr>
        <w:t xml:space="preserve">: pairing disaster records with national industrial-production indices. Of 76 US disasters with &gt;=$5bn damage since 1972, only 7 (9%) coincide with an &gt;=8% year-over-year fall in motor-vehicle output, and every one is explained by a concurrent macro event or is already in the set. Hurricane Katrina ($206bn) fell in a month when US automotive output ROSE 2.8%. The reason is structural: a national index averages the whole country and dilutes a regional shock.</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Graph completeness</w:t>
      </w:r>
      <w:r>
        <w:rPr>
          <w:rFonts w:ascii="Palatino Linotype" w:cs="Palatino Linotype" w:eastAsia="Palatino Linotype" w:hAnsi="Palatino Linotype"/>
          <w:sz w:val="19"/>
          <w:szCs w:val="19"/>
        </w:rPr>
        <w:t xml:space="preserve">: v2 omits several real producers; v3 (405 nodes) is not yet calibrated on magnitudes.</w:t>
      </w:r>
    </w:p>
    <w:p>
      <w:pPr>
        <w:keepNext/>
        <w:spacing w:after="50" w:before="140"/>
      </w:pPr>
      <w:r>
        <w:rPr>
          <w:rFonts w:ascii="Palatino Linotype" w:cs="Palatino Linotype" w:eastAsia="Palatino Linotype" w:hAnsi="Palatino Linotype"/>
          <w:b/>
          <w:bCs/>
          <w:i/>
          <w:iCs/>
          <w:color w:val="1A1A1A"/>
          <w:sz w:val="19"/>
          <w:szCs w:val="19"/>
        </w:rPr>
        <w:t xml:space="preserve">8.2. The third route to a larger N: chokepoints</w:t>
      </w:r>
    </w:p>
    <w:p>
      <w:pPr>
        <w:spacing w:after="20" w:line="240"/>
        <w:ind w:firstLine="220"/>
        <w:jc w:val="both"/>
      </w:pPr>
      <w:r>
        <w:rPr>
          <w:rFonts w:ascii="Palatino Linotype" w:cs="Palatino Linotype" w:eastAsia="Palatino Linotype" w:hAnsi="Palatino Linotype"/>
          <w:sz w:val="19"/>
          <w:szCs w:val="19"/>
        </w:rPr>
        <w:t xml:space="preserve">After the disaster-records × production-indices route failed (§8.1), a third remained, in principle the cleanest: maritime chokepoints. A blocked strait is supply-side by construction, and the transit count </w:t>
      </w:r>
      <w:r>
        <w:rPr>
          <w:rFonts w:ascii="Palatino Linotype" w:cs="Palatino Linotype" w:eastAsia="Palatino Linotype" w:hAnsi="Palatino Linotype"/>
          <w:b/>
          <w:bCs/>
          <w:sz w:val="19"/>
          <w:szCs w:val="19"/>
        </w:rPr>
        <w:t xml:space="preserve">is itself</w:t>
      </w:r>
      <w:r>
        <w:rPr>
          <w:rFonts w:ascii="Palatino Linotype" w:cs="Palatino Linotype" w:eastAsia="Palatino Linotype" w:hAnsi="Palatino Linotype"/>
          <w:sz w:val="19"/>
          <w:szCs w:val="19"/>
        </w:rPr>
        <w:t xml:space="preserve"> the magnitude. The IMF PortWatch daily series (77,389 observations, 28 chokepoints, 2019–2026) was obtained and committed; a detector flags weeks where transits fall more than 15% below a trailing median.</w:t>
      </w:r>
    </w:p>
    <w:p>
      <w:pPr>
        <w:spacing w:after="20" w:line="240"/>
        <w:ind w:firstLine="220"/>
        <w:jc w:val="both"/>
      </w:pPr>
      <w:r>
        <w:rPr>
          <w:rFonts w:ascii="Palatino Linotype" w:cs="Palatino Linotype" w:eastAsia="Palatino Linotype" w:hAnsi="Palatino Linotype"/>
          <w:b/>
          <w:bCs/>
          <w:sz w:val="19"/>
          <w:szCs w:val="19"/>
        </w:rPr>
        <w:t xml:space="preserve">The detector validates on the known</w:t>
      </w:r>
      <w:r>
        <w:rPr>
          <w:rFonts w:ascii="Palatino Linotype" w:cs="Palatino Linotype" w:eastAsia="Palatino Linotype" w:hAnsi="Palatino Linotype"/>
          <w:sz w:val="19"/>
          <w:szCs w:val="19"/>
        </w:rPr>
        <w:t xml:space="preserve"> — it independently rediscovers both chokepoint events already in the benchmark: the Red Sea crisis 2023–24 (Suez, −48.3% peak) and the Panama drought (−40.0%). </w:t>
      </w:r>
      <w:r>
        <w:rPr>
          <w:rFonts w:ascii="Palatino Linotype" w:cs="Palatino Linotype" w:eastAsia="Palatino Linotype" w:hAnsi="Palatino Linotype"/>
          <w:b/>
          <w:bCs/>
          <w:sz w:val="19"/>
          <w:szCs w:val="19"/>
        </w:rPr>
        <w:t xml:space="preserve">But it yielded no new usable events:</w:t>
      </w:r>
      <w:r>
        <w:rPr>
          <w:rFonts w:ascii="Palatino Linotype" w:cs="Palatino Linotype" w:eastAsia="Palatino Linotype" w:hAnsi="Palatino Linotype"/>
          <w:sz w:val="19"/>
          <w:szCs w:val="19"/>
        </w:rPr>
        <w:t xml:space="preserve"> of 19 episodes, two are those, four fall in COVID-era 2020, and most of the rest are Hormuz's seasonal winter trough (December runs 28% lighter than August). The third route closes too: N stays at 27, and that is a tested result rather than an omission.</w:t>
      </w:r>
    </w:p>
    <w:p>
      <w:pPr>
        <w:spacing w:after="20" w:line="240"/>
        <w:ind w:firstLine="220"/>
        <w:jc w:val="both"/>
      </w:pPr>
      <w:r>
        <w:rPr>
          <w:rFonts w:ascii="Palatino Linotype" w:cs="Palatino Linotype" w:eastAsia="Palatino Linotype" w:hAnsi="Palatino Linotype"/>
          <w:b/>
          <w:bCs/>
          <w:sz w:val="19"/>
          <w:szCs w:val="19"/>
        </w:rPr>
        <w:t xml:space="preserve">A refuted figure.</w:t>
      </w:r>
      <w:r>
        <w:rPr>
          <w:rFonts w:ascii="Palatino Linotype" w:cs="Palatino Linotype" w:eastAsia="Palatino Linotype" w:hAnsi="Palatino Linotype"/>
          <w:sz w:val="19"/>
          <w:szCs w:val="19"/>
        </w:rPr>
        <w:t xml:space="preserve"> The working log had recorded the August 2022 Taiwan Strait exercises with a 22% transit drop citing IMF PortWatch. Against the primary series the worst week measures </w:t>
      </w:r>
      <w:r>
        <w:rPr>
          <w:rFonts w:ascii="Palatino Linotype" w:cs="Palatino Linotype" w:eastAsia="Palatino Linotype" w:hAnsi="Palatino Linotype"/>
          <w:b/>
          <w:bCs/>
          <w:sz w:val="19"/>
          <w:szCs w:val="19"/>
        </w:rPr>
        <w:t xml:space="preserve">−5.6%</w:t>
      </w:r>
      <w:r>
        <w:rPr>
          <w:rFonts w:ascii="Palatino Linotype" w:cs="Palatino Linotype" w:eastAsia="Palatino Linotype" w:hAnsi="Palatino Linotype"/>
          <w:sz w:val="19"/>
          <w:szCs w:val="19"/>
        </w:rPr>
        <w:t xml:space="preserve"> relative to the April–June baseline (1,593 vs 1,687 transits per week). The 22% figure is not in the data and the episode does not even clear the detector's 15% threshold. The record was corrected and kept as a documented false positive.</w:t>
      </w:r>
    </w:p>
    <w:p>
      <w:pPr>
        <w:spacing w:after="20" w:line="240"/>
        <w:ind w:firstLine="220"/>
        <w:jc w:val="both"/>
      </w:pPr>
      <w:r>
        <w:rPr>
          <w:rFonts w:ascii="Palatino Linotype" w:cs="Palatino Linotype" w:eastAsia="Palatino Linotype" w:hAnsi="Palatino Linotype"/>
          <w:b/>
          <w:bCs/>
          <w:sz w:val="19"/>
          <w:szCs w:val="19"/>
        </w:rPr>
        <w:t xml:space="preserve">The largest disruption in the record — and why it cannot be included.</w:t>
      </w:r>
      <w:r>
        <w:rPr>
          <w:rFonts w:ascii="Palatino Linotype" w:cs="Palatino Linotype" w:eastAsia="Palatino Linotype" w:hAnsi="Palatino Linotype"/>
          <w:sz w:val="19"/>
          <w:szCs w:val="19"/>
        </w:rPr>
        <w:t xml:space="preserve"> The 2026 Strait of Hormuz closure: weekly transits collapse from 561 to 25 in the week of 8 March and stay between 14 and 107 through June — a </w:t>
      </w:r>
      <w:r>
        <w:rPr>
          <w:rFonts w:ascii="Palatino Linotype" w:cs="Palatino Linotype" w:eastAsia="Palatino Linotype" w:hAnsi="Palatino Linotype"/>
          <w:b/>
          <w:bCs/>
          <w:sz w:val="19"/>
          <w:szCs w:val="19"/>
        </w:rPr>
        <w:t xml:space="preserve">95.5%</w:t>
      </w:r>
      <w:r>
        <w:rPr>
          <w:rFonts w:ascii="Palatino Linotype" w:cs="Palatino Linotype" w:eastAsia="Palatino Linotype" w:hAnsi="Palatino Linotype"/>
          <w:sz w:val="19"/>
          <w:szCs w:val="19"/>
        </w:rPr>
        <w:t xml:space="preserve"> peak deficit, deeper than Ever Given (0.96, but for days) and far longer than the Red Sea crisis (0.48). It matches the closure announced on 2 March 2026 and the IMO's 21 April report of ~2,000 ships stranded. The rival explanation was checked: PortWatch revised the Hormuz boundary in March 2026, but a definitional change produces a step to a new stable level, whereas the series shows a one-week collapse with volatile partial recovery.</w:t>
      </w:r>
    </w:p>
    <w:p>
      <w:pPr>
        <w:spacing w:after="20" w:line="240"/>
        <w:ind w:firstLine="220"/>
        <w:jc w:val="both"/>
      </w:pPr>
      <w:r>
        <w:rPr>
          <w:rFonts w:ascii="Palatino Linotype" w:cs="Palatino Linotype" w:eastAsia="Palatino Linotype" w:hAnsi="Palatino Linotype"/>
          <w:sz w:val="19"/>
          <w:szCs w:val="19"/>
        </w:rPr>
        <w:t xml:space="preserve">The event is </w:t>
      </w:r>
      <w:r>
        <w:rPr>
          <w:rFonts w:ascii="Palatino Linotype" w:cs="Palatino Linotype" w:eastAsia="Palatino Linotype" w:hAnsi="Palatino Linotype"/>
          <w:b/>
          <w:bCs/>
          <w:sz w:val="19"/>
          <w:szCs w:val="19"/>
        </w:rPr>
        <w:t xml:space="preserve">measured but not included</w:t>
      </w:r>
      <w:r>
        <w:rPr>
          <w:rFonts w:ascii="Palatino Linotype" w:cs="Palatino Linotype" w:eastAsia="Palatino Linotype" w:hAnsi="Palatino Linotype"/>
          <w:sz w:val="19"/>
          <w:szCs w:val="19"/>
        </w:rPr>
        <w:t xml:space="preserve">, for a methodologically instructive reason: it is </w:t>
      </w:r>
      <w:r>
        <w:rPr>
          <w:rFonts w:ascii="Palatino Linotype" w:cs="Palatino Linotype" w:eastAsia="Palatino Linotype" w:hAnsi="Palatino Linotype"/>
          <w:b/>
          <w:bCs/>
          <w:sz w:val="19"/>
          <w:szCs w:val="19"/>
        </w:rPr>
        <w:t xml:space="preserve">still running</w:t>
      </w:r>
      <w:r>
        <w:rPr>
          <w:rFonts w:ascii="Palatino Linotype" w:cs="Palatino Linotype" w:eastAsia="Palatino Linotype" w:hAnsi="Palatino Linotype"/>
          <w:sz w:val="19"/>
          <w:szCs w:val="19"/>
        </w:rPr>
        <w:t xml:space="preserve"> at the data cutoff. No agency has published 2026 industry losses, so the observed target the benchmark calibrates against does not yet exist, and recovery duration is undefined for an unfinished event. The strongest event in the dataset is unusable precisely because it is too recent.</w:t>
      </w:r>
    </w:p>
    <w:p>
      <w:pPr>
        <w:keepNext/>
        <w:spacing w:after="70" w:before="200"/>
      </w:pPr>
      <w:r>
        <w:rPr>
          <w:rFonts w:ascii="Palatino Linotype" w:cs="Palatino Linotype" w:eastAsia="Palatino Linotype" w:hAnsi="Palatino Linotype"/>
          <w:b/>
          <w:bCs/>
          <w:color w:val="1A1A1A"/>
          <w:sz w:val="21"/>
          <w:szCs w:val="21"/>
        </w:rPr>
        <w:t xml:space="preserve">9. Reproducibility</w:t>
      </w:r>
    </w:p>
    <w:p>
      <w:pPr>
        <w:spacing w:after="20" w:line="240"/>
        <w:ind w:firstLine="220"/>
        <w:jc w:val="both"/>
      </w:pPr>
      <w:r>
        <w:rPr>
          <w:rFonts w:ascii="Palatino Linotype" w:cs="Palatino Linotype" w:eastAsia="Palatino Linotype" w:hAnsi="Palatino Linotype"/>
          <w:sz w:val="19"/>
          <w:szCs w:val="19"/>
        </w:rPr>
        <w:t xml:space="preserve">The engine configuration is pinned (fixed seeds, stochasticity off); results are frozen by golden tests, and any numeric change is an explicit diff in the same commit. The statistical layer is deterministic (seed 20260718). The headline-numbers document and all figures are generated by scripts from artifacts; each figure ships with its numeric table. 147 automated tests, all green. Exact commands are in Appendix B.</w:t>
      </w:r>
    </w:p>
    <w:p>
      <w:pPr>
        <w:keepNext/>
        <w:spacing w:after="70" w:before="200"/>
      </w:pPr>
      <w:r>
        <w:rPr>
          <w:rFonts w:ascii="Palatino Linotype" w:cs="Palatino Linotype" w:eastAsia="Palatino Linotype" w:hAnsi="Palatino Linotype"/>
          <w:b/>
          <w:bCs/>
          <w:color w:val="1A1A1A"/>
          <w:sz w:val="21"/>
          <w:szCs w:val="21"/>
        </w:rPr>
        <w:t xml:space="preserve">10. Conclusion and Future Work</w:t>
      </w:r>
    </w:p>
    <w:p>
      <w:pPr>
        <w:spacing w:after="20" w:line="240"/>
        <w:ind w:firstLine="220"/>
        <w:jc w:val="both"/>
      </w:pPr>
      <w:r>
        <w:rPr>
          <w:rFonts w:ascii="Palatino Linotype" w:cs="Palatino Linotype" w:eastAsia="Palatino Linotype" w:hAnsi="Palatino Linotype"/>
          <w:sz w:val="19"/>
          <w:szCs w:val="19"/>
        </w:rPr>
        <w:t xml:space="preserve">The benchmark and three-axis validation give a way to tell cascade models apart in a statistically honest manner. Next: grow N via chokepoint events (IMF PortWatch transit data sidesteps the aggregate-dilution problem); calibrate magnitudes on the 405-node ICIO graph; a demand-side mechanism for 2008–09-type events; and releasing the benchmark as an open standard for third-party models.</w:t>
      </w:r>
    </w:p>
    <w:p>
      <w:pPr>
        <w:spacing w:after="40" w:before="100"/>
      </w:pPr>
      <w:r>
        <w:rPr>
          <w:rFonts w:ascii="Palatino Linotype" w:cs="Palatino Linotype" w:eastAsia="Palatino Linotype" w:hAnsi="Palatino Linotype"/>
          <w:b/>
          <w:bCs/>
          <w:color w:val="1A1A1A"/>
          <w:sz w:val="18"/>
          <w:szCs w:val="18"/>
        </w:rPr>
        <w:t xml:space="preserve">Back matter</w:t>
      </w:r>
    </w:p>
    <w:p>
      <w:pPr>
        <w:spacing w:after="20" w:line="240"/>
        <w:jc w:val="both"/>
      </w:pPr>
      <w:r>
        <w:rPr>
          <w:rFonts w:ascii="Palatino Linotype" w:cs="Palatino Linotype" w:eastAsia="Palatino Linotype" w:hAnsi="Palatino Linotype"/>
          <w:b/>
          <w:bCs/>
          <w:sz w:val="19"/>
          <w:szCs w:val="19"/>
        </w:rPr>
        <w:t xml:space="preserve">Data and code availability.</w:t>
      </w:r>
      <w:r>
        <w:rPr>
          <w:rFonts w:ascii="Palatino Linotype" w:cs="Palatino Linotype" w:eastAsia="Palatino Linotype" w:hAnsi="Palatino Linotype"/>
          <w:sz w:val="19"/>
          <w:szCs w:val="19"/>
        </w:rPr>
        <w:t xml:space="preserve"> All data, engine code, validation scripts and artifacts are open in the project repository; every calibration target carries a primary source. Numbers reproduce via the Appendix B commands.</w:t>
      </w:r>
    </w:p>
    <w:p>
      <w:pPr>
        <w:spacing w:after="20" w:line="240"/>
        <w:jc w:val="both"/>
      </w:pPr>
      <w:r>
        <w:rPr>
          <w:rFonts w:ascii="Palatino Linotype" w:cs="Palatino Linotype" w:eastAsia="Palatino Linotype" w:hAnsi="Palatino Linotype"/>
          <w:b/>
          <w:bCs/>
          <w:sz w:val="19"/>
          <w:szCs w:val="19"/>
        </w:rPr>
        <w:t xml:space="preserve">Author contributions.</w:t>
      </w:r>
      <w:r>
        <w:rPr>
          <w:rFonts w:ascii="Palatino Linotype" w:cs="Palatino Linotype" w:eastAsia="Palatino Linotype" w:hAnsi="Palatino Linotype"/>
          <w:sz w:val="19"/>
          <w:szCs w:val="19"/>
        </w:rPr>
        <w:t xml:space="preserve"> [Complete per CRediT: conceptualization, methodology, software, validation, formal analysis, writing — original draft / review &amp; editing, visualization.]</w:t>
      </w:r>
    </w:p>
    <w:p>
      <w:pPr>
        <w:spacing w:after="20" w:line="240"/>
        <w:jc w:val="both"/>
      </w:pPr>
      <w:r>
        <w:rPr>
          <w:rFonts w:ascii="Palatino Linotype" w:cs="Palatino Linotype" w:eastAsia="Palatino Linotype" w:hAnsi="Palatino Linotype"/>
          <w:b/>
          <w:bCs/>
          <w:sz w:val="19"/>
          <w:szCs w:val="19"/>
        </w:rPr>
        <w:t xml:space="preserve">Funding.</w:t>
      </w:r>
      <w:r>
        <w:rPr>
          <w:rFonts w:ascii="Palatino Linotype" w:cs="Palatino Linotype" w:eastAsia="Palatino Linotype" w:hAnsi="Palatino Linotype"/>
          <w:sz w:val="19"/>
          <w:szCs w:val="19"/>
        </w:rPr>
        <w:t xml:space="preserve"> [This research received no external funding / state the grant.]</w:t>
      </w:r>
    </w:p>
    <w:p>
      <w:pPr>
        <w:spacing w:after="20" w:line="240"/>
        <w:jc w:val="both"/>
      </w:pPr>
      <w:r>
        <w:rPr>
          <w:rFonts w:ascii="Palatino Linotype" w:cs="Palatino Linotype" w:eastAsia="Palatino Linotype" w:hAnsi="Palatino Linotype"/>
          <w:b/>
          <w:bCs/>
          <w:sz w:val="19"/>
          <w:szCs w:val="19"/>
        </w:rPr>
        <w:t xml:space="preserve">Institutional review.</w:t>
      </w:r>
      <w:r>
        <w:rPr>
          <w:rFonts w:ascii="Palatino Linotype" w:cs="Palatino Linotype" w:eastAsia="Palatino Linotype" w:hAnsi="Palatino Linotype"/>
          <w:sz w:val="19"/>
          <w:szCs w:val="19"/>
        </w:rPr>
        <w:t xml:space="preserve"> Not applicable (no human or animal subjects; only aggregate open economic data).</w:t>
      </w:r>
    </w:p>
    <w:p>
      <w:pPr>
        <w:spacing w:after="20" w:line="240"/>
        <w:jc w:val="both"/>
      </w:pPr>
      <w:r>
        <w:rPr>
          <w:rFonts w:ascii="Palatino Linotype" w:cs="Palatino Linotype" w:eastAsia="Palatino Linotype" w:hAnsi="Palatino Linotype"/>
          <w:b/>
          <w:bCs/>
          <w:sz w:val="19"/>
          <w:szCs w:val="19"/>
        </w:rPr>
        <w:t xml:space="preserve">Conflicts of interest.</w:t>
      </w:r>
      <w:r>
        <w:rPr>
          <w:rFonts w:ascii="Palatino Linotype" w:cs="Palatino Linotype" w:eastAsia="Palatino Linotype" w:hAnsi="Palatino Linotype"/>
          <w:sz w:val="19"/>
          <w:szCs w:val="19"/>
        </w:rPr>
        <w:t xml:space="preserve"> The author(s) declare no conflict of interest.</w:t>
      </w:r>
    </w:p>
    <w:p>
      <w:pPr>
        <w:keepNext/>
        <w:spacing w:after="70" w:before="200"/>
      </w:pPr>
      <w:r>
        <w:rPr>
          <w:rFonts w:ascii="Palatino Linotype" w:cs="Palatino Linotype" w:eastAsia="Palatino Linotype" w:hAnsi="Palatino Linotype"/>
          <w:b/>
          <w:bCs/>
          <w:color w:val="1A1A1A"/>
          <w:sz w:val="21"/>
          <w:szCs w:val="21"/>
        </w:rPr>
        <w:t xml:space="preserve">References</w:t>
      </w:r>
    </w:p>
    <w:p>
      <w:pPr>
        <w:spacing w:after="24" w:line="210"/>
        <w:ind w:left="300" w:hanging="300"/>
        <w:jc w:val="both"/>
      </w:pPr>
      <w:r>
        <w:rPr>
          <w:rFonts w:ascii="Palatino Linotype" w:cs="Palatino Linotype" w:eastAsia="Palatino Linotype" w:hAnsi="Palatino Linotype"/>
          <w:sz w:val="16"/>
          <w:szCs w:val="16"/>
        </w:rPr>
        <w:t xml:space="preserve">1. Acemoglu, D.; Carvalho, V.M.; Ozdaglar, A.; Tahbaz-Salehi, A. The Network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2012, 80, 1977–2016. doi:10.3982/ECTA9623.</w:t>
      </w:r>
    </w:p>
    <w:p>
      <w:pPr>
        <w:spacing w:after="24" w:line="210"/>
        <w:ind w:left="300" w:hanging="300"/>
        <w:jc w:val="both"/>
      </w:pPr>
      <w:r>
        <w:rPr>
          <w:rFonts w:ascii="Palatino Linotype" w:cs="Palatino Linotype" w:eastAsia="Palatino Linotype" w:hAnsi="Palatino Linotype"/>
          <w:sz w:val="16"/>
          <w:szCs w:val="16"/>
        </w:rPr>
        <w:t xml:space="preserve">2. Acemoglu, D.; Ozdaglar, A.; Tahbaz-Salehi, A. Microeconomic Origins of Macroeconomic Tail Risks.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2017, 107, 54–108. doi:10.1257/aer.20151086.</w:t>
      </w:r>
    </w:p>
    <w:p>
      <w:pPr>
        <w:spacing w:after="24" w:line="210"/>
        <w:ind w:left="300" w:hanging="300"/>
        <w:jc w:val="both"/>
      </w:pPr>
      <w:r>
        <w:rPr>
          <w:rFonts w:ascii="Palatino Linotype" w:cs="Palatino Linotype" w:eastAsia="Palatino Linotype" w:hAnsi="Palatino Linotype"/>
          <w:sz w:val="16"/>
          <w:szCs w:val="16"/>
        </w:rPr>
        <w:t xml:space="preserve">3. Baqaee, D.R. Cascading Failures in Production Networks. </w:t>
      </w:r>
      <w:r>
        <w:rPr>
          <w:rFonts w:ascii="Palatino Linotype" w:cs="Palatino Linotype" w:eastAsia="Palatino Linotype" w:hAnsi="Palatino Linotype"/>
          <w:i/>
          <w:iCs/>
          <w:sz w:val="16"/>
          <w:szCs w:val="16"/>
        </w:rPr>
        <w:t xml:space="preserve">Working Paper</w:t>
      </w:r>
      <w:r>
        <w:rPr>
          <w:rFonts w:ascii="Palatino Linotype" w:cs="Palatino Linotype" w:eastAsia="Palatino Linotype" w:hAnsi="Palatino Linotype"/>
          <w:sz w:val="16"/>
          <w:szCs w:val="16"/>
        </w:rPr>
        <w:t xml:space="preserve"> 2016.</w:t>
      </w:r>
    </w:p>
    <w:p>
      <w:pPr>
        <w:spacing w:after="24" w:line="210"/>
        <w:ind w:left="300" w:hanging="300"/>
        <w:jc w:val="both"/>
      </w:pPr>
      <w:r>
        <w:rPr>
          <w:rFonts w:ascii="Palatino Linotype" w:cs="Palatino Linotype" w:eastAsia="Palatino Linotype" w:hAnsi="Palatino Linotype"/>
          <w:sz w:val="16"/>
          <w:szCs w:val="16"/>
        </w:rPr>
        <w:t xml:space="preserve">4. Bigio, S.; La'O, J. Distortions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2020, 135, 2187–2253. doi:10.1093/qjecon/qjaa002.</w:t>
      </w:r>
    </w:p>
    <w:p>
      <w:pPr>
        <w:spacing w:after="24" w:line="210"/>
        <w:ind w:left="300" w:hanging="300"/>
        <w:jc w:val="both"/>
      </w:pPr>
      <w:r>
        <w:rPr>
          <w:rFonts w:ascii="Palatino Linotype" w:cs="Palatino Linotype" w:eastAsia="Palatino Linotype" w:hAnsi="Palatino Linotype"/>
          <w:sz w:val="16"/>
          <w:szCs w:val="16"/>
        </w:rPr>
        <w:t xml:space="preserve">5. Carvalho, V.M.; Nirei, M.; Saito, Y.U.; Tahbaz-Salehi, A. Supply Chain Disruptions: Evidence from the Great East Japan Earthquake.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2021, 136, 1255–1321. doi:10.1093/qje/qjaa044.</w:t>
      </w:r>
    </w:p>
    <w:p>
      <w:pPr>
        <w:spacing w:after="24" w:line="210"/>
        <w:ind w:left="300" w:hanging="300"/>
        <w:jc w:val="both"/>
      </w:pPr>
      <w:r>
        <w:rPr>
          <w:rFonts w:ascii="Palatino Linotype" w:cs="Palatino Linotype" w:eastAsia="Palatino Linotype" w:hAnsi="Palatino Linotype"/>
          <w:sz w:val="16"/>
          <w:szCs w:val="16"/>
        </w:rPr>
        <w:t xml:space="preserve">6. Barrot, J.-N.; Sauvagnat, J. Input Specificity and the Propagation of Idiosyncratic Shocks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2016, 131, 1543–1592. doi:10.1093/qje/qjw018.</w:t>
      </w:r>
    </w:p>
    <w:p>
      <w:pPr>
        <w:spacing w:after="24" w:line="210"/>
        <w:ind w:left="300" w:hanging="300"/>
        <w:jc w:val="both"/>
      </w:pPr>
      <w:r>
        <w:rPr>
          <w:rFonts w:ascii="Palatino Linotype" w:cs="Palatino Linotype" w:eastAsia="Palatino Linotype" w:hAnsi="Palatino Linotype"/>
          <w:sz w:val="16"/>
          <w:szCs w:val="16"/>
        </w:rPr>
        <w:t xml:space="preserve">7. Boehm, C.E.; Flaaen, A.; Pandalai-Nayar, N. Input Linkages and the Transmission of Shocks: Firm-Level Evidence from the 2011 Tōhoku Earthquake. </w:t>
      </w:r>
      <w:r>
        <w:rPr>
          <w:rFonts w:ascii="Palatino Linotype" w:cs="Palatino Linotype" w:eastAsia="Palatino Linotype" w:hAnsi="Palatino Linotype"/>
          <w:i/>
          <w:iCs/>
          <w:sz w:val="16"/>
          <w:szCs w:val="16"/>
        </w:rPr>
        <w:t xml:space="preserve">Review of Economics and Statistics</w:t>
      </w:r>
      <w:r>
        <w:rPr>
          <w:rFonts w:ascii="Palatino Linotype" w:cs="Palatino Linotype" w:eastAsia="Palatino Linotype" w:hAnsi="Palatino Linotype"/>
          <w:sz w:val="16"/>
          <w:szCs w:val="16"/>
        </w:rPr>
        <w:t xml:space="preserve"> 2019, 101, 60–75. doi:10.1162/rest_a_00750.</w:t>
      </w:r>
    </w:p>
    <w:p>
      <w:pPr>
        <w:spacing w:after="24" w:line="210"/>
        <w:ind w:left="300" w:hanging="300"/>
        <w:jc w:val="both"/>
      </w:pPr>
      <w:r>
        <w:rPr>
          <w:rFonts w:ascii="Palatino Linotype" w:cs="Palatino Linotype" w:eastAsia="Palatino Linotype" w:hAnsi="Palatino Linotype"/>
          <w:sz w:val="16"/>
          <w:szCs w:val="16"/>
        </w:rPr>
        <w:t xml:space="preserve">8. Gabaix, X. The Granular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2011, 79, 733–772. doi:10.3982/ECTA8769.</w:t>
      </w:r>
    </w:p>
    <w:p>
      <w:pPr>
        <w:spacing w:after="24" w:line="210"/>
        <w:ind w:left="300" w:hanging="300"/>
        <w:jc w:val="both"/>
      </w:pPr>
      <w:r>
        <w:rPr>
          <w:rFonts w:ascii="Palatino Linotype" w:cs="Palatino Linotype" w:eastAsia="Palatino Linotype" w:hAnsi="Palatino Linotype"/>
          <w:sz w:val="16"/>
          <w:szCs w:val="16"/>
        </w:rPr>
        <w:t xml:space="preserve">9. di Giovanni, J.; Levchenko, A.A. Country Size, International Trade, and Aggregate Fluctuations in Granular Economies.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2012, 120, 1083–1132. doi:10.1086/669161.</w:t>
      </w:r>
    </w:p>
    <w:p>
      <w:pPr>
        <w:spacing w:after="24" w:line="210"/>
        <w:ind w:left="300" w:hanging="300"/>
        <w:jc w:val="both"/>
      </w:pPr>
      <w:r>
        <w:rPr>
          <w:rFonts w:ascii="Palatino Linotype" w:cs="Palatino Linotype" w:eastAsia="Palatino Linotype" w:hAnsi="Palatino Linotype"/>
          <w:sz w:val="16"/>
          <w:szCs w:val="16"/>
        </w:rPr>
        <w:t xml:space="preserve">10. Oberfield, E.; et al. Aggregate Fluctuations in Adaptive Production Networks.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2022, 119, e2203730119. doi:10.1073/pnas.2203730119.</w:t>
      </w:r>
    </w:p>
    <w:p>
      <w:pPr>
        <w:spacing w:after="24" w:line="210"/>
        <w:ind w:left="300" w:hanging="300"/>
        <w:jc w:val="both"/>
      </w:pPr>
      <w:r>
        <w:rPr>
          <w:rFonts w:ascii="Palatino Linotype" w:cs="Palatino Linotype" w:eastAsia="Palatino Linotype" w:hAnsi="Palatino Linotype"/>
          <w:sz w:val="16"/>
          <w:szCs w:val="16"/>
        </w:rPr>
        <w:t xml:space="preserve">11. Inoue, H.; Todo, Y. Firm-Level Propagation of Shocks Through Supply-Chain Networks. </w:t>
      </w:r>
      <w:r>
        <w:rPr>
          <w:rFonts w:ascii="Palatino Linotype" w:cs="Palatino Linotype" w:eastAsia="Palatino Linotype" w:hAnsi="Palatino Linotype"/>
          <w:i/>
          <w:iCs/>
          <w:sz w:val="16"/>
          <w:szCs w:val="16"/>
        </w:rPr>
        <w:t xml:space="preserve">Nature Sustainability</w:t>
      </w:r>
      <w:r>
        <w:rPr>
          <w:rFonts w:ascii="Palatino Linotype" w:cs="Palatino Linotype" w:eastAsia="Palatino Linotype" w:hAnsi="Palatino Linotype"/>
          <w:sz w:val="16"/>
          <w:szCs w:val="16"/>
        </w:rPr>
        <w:t xml:space="preserve"> 2019, 2, 841–847. doi:10.1038/s41893-019-0357-z.</w:t>
      </w:r>
    </w:p>
    <w:p>
      <w:pPr>
        <w:spacing w:after="24" w:line="210"/>
        <w:ind w:left="300" w:hanging="300"/>
        <w:jc w:val="both"/>
      </w:pPr>
      <w:r>
        <w:rPr>
          <w:rFonts w:ascii="Palatino Linotype" w:cs="Palatino Linotype" w:eastAsia="Palatino Linotype" w:hAnsi="Palatino Linotype"/>
          <w:sz w:val="16"/>
          <w:szCs w:val="16"/>
        </w:rPr>
        <w:t xml:space="preserve">12. Otto, C.; Willner, S.N.; Wenz, L.; Frieler, K.; Levermann, A. Modeling Loss-Propagation in the Global Supply Network: The Dynamic Agent-Based Model Acclimate.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2017, 83, 232–269. doi:10.1016/j.jedc.2017.08.001.</w:t>
      </w:r>
    </w:p>
    <w:p>
      <w:pPr>
        <w:spacing w:after="24" w:line="210"/>
        <w:ind w:left="300" w:hanging="300"/>
        <w:jc w:val="both"/>
      </w:pPr>
      <w:r>
        <w:rPr>
          <w:rFonts w:ascii="Palatino Linotype" w:cs="Palatino Linotype" w:eastAsia="Palatino Linotype" w:hAnsi="Palatino Linotype"/>
          <w:sz w:val="16"/>
          <w:szCs w:val="16"/>
        </w:rPr>
        <w:t xml:space="preserve">13. Allen, F.; Gale, D. Financial Contagion.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2000, 108, 1–33. doi:10.1086/262109.</w:t>
      </w:r>
    </w:p>
    <w:p>
      <w:pPr>
        <w:spacing w:after="24" w:line="210"/>
        <w:ind w:left="300" w:hanging="300"/>
        <w:jc w:val="both"/>
      </w:pPr>
      <w:r>
        <w:rPr>
          <w:rFonts w:ascii="Palatino Linotype" w:cs="Palatino Linotype" w:eastAsia="Palatino Linotype" w:hAnsi="Palatino Linotype"/>
          <w:sz w:val="16"/>
          <w:szCs w:val="16"/>
        </w:rPr>
        <w:t xml:space="preserve">14. Gai, P.; Kapadia, S. Contagion in Financial Networks. </w:t>
      </w:r>
      <w:r>
        <w:rPr>
          <w:rFonts w:ascii="Palatino Linotype" w:cs="Palatino Linotype" w:eastAsia="Palatino Linotype" w:hAnsi="Palatino Linotype"/>
          <w:i/>
          <w:iCs/>
          <w:sz w:val="16"/>
          <w:szCs w:val="16"/>
        </w:rPr>
        <w:t xml:space="preserve">Proceedings of the Royal Society A</w:t>
      </w:r>
      <w:r>
        <w:rPr>
          <w:rFonts w:ascii="Palatino Linotype" w:cs="Palatino Linotype" w:eastAsia="Palatino Linotype" w:hAnsi="Palatino Linotype"/>
          <w:sz w:val="16"/>
          <w:szCs w:val="16"/>
        </w:rPr>
        <w:t xml:space="preserve"> 2010, 466, 2401–2423. doi:10.1098/rspa.2009.0410.</w:t>
      </w:r>
    </w:p>
    <w:p>
      <w:pPr>
        <w:spacing w:after="24" w:line="210"/>
        <w:ind w:left="300" w:hanging="300"/>
        <w:jc w:val="both"/>
      </w:pPr>
      <w:r>
        <w:rPr>
          <w:rFonts w:ascii="Palatino Linotype" w:cs="Palatino Linotype" w:eastAsia="Palatino Linotype" w:hAnsi="Palatino Linotype"/>
          <w:sz w:val="16"/>
          <w:szCs w:val="16"/>
        </w:rPr>
        <w:t xml:space="preserve">15. Battiston, S.; Delli Gatti, D.; Gallegati, M.; Greenwald, B.; Stiglitz, J.E. Liaisons Dangereuses: Increasing Connectivity, Risk Sharing, and Systemic Risk.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2012, 36, 1121–1141. doi:10.1016/j.jedc.2012.04.001.</w:t>
      </w:r>
    </w:p>
    <w:p>
      <w:pPr>
        <w:spacing w:after="24" w:line="210"/>
        <w:ind w:left="300" w:hanging="300"/>
        <w:jc w:val="both"/>
      </w:pPr>
      <w:r>
        <w:rPr>
          <w:rFonts w:ascii="Palatino Linotype" w:cs="Palatino Linotype" w:eastAsia="Palatino Linotype" w:hAnsi="Palatino Linotype"/>
          <w:sz w:val="16"/>
          <w:szCs w:val="16"/>
        </w:rPr>
        <w:t xml:space="preserve">16. Elliott, M.; Golub, B.; Jackson, M.O. Financial Networks and Contagion.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2014, 104, 3115–3153. doi:10.1257/aer.104.10.3115.</w:t>
      </w:r>
    </w:p>
    <w:p>
      <w:pPr>
        <w:spacing w:after="24" w:line="210"/>
        <w:ind w:left="300" w:hanging="300"/>
        <w:jc w:val="both"/>
      </w:pPr>
      <w:r>
        <w:rPr>
          <w:rFonts w:ascii="Palatino Linotype" w:cs="Palatino Linotype" w:eastAsia="Palatino Linotype" w:hAnsi="Palatino Linotype"/>
          <w:sz w:val="16"/>
          <w:szCs w:val="16"/>
        </w:rPr>
        <w:t xml:space="preserve">17. Haldane, A.G.; May, R.M. Systemic Risk in Banking Ecosystems. </w:t>
      </w:r>
      <w:r>
        <w:rPr>
          <w:rFonts w:ascii="Palatino Linotype" w:cs="Palatino Linotype" w:eastAsia="Palatino Linotype" w:hAnsi="Palatino Linotype"/>
          <w:i/>
          <w:iCs/>
          <w:sz w:val="16"/>
          <w:szCs w:val="16"/>
        </w:rPr>
        <w:t xml:space="preserve">Nature</w:t>
      </w:r>
      <w:r>
        <w:rPr>
          <w:rFonts w:ascii="Palatino Linotype" w:cs="Palatino Linotype" w:eastAsia="Palatino Linotype" w:hAnsi="Palatino Linotype"/>
          <w:sz w:val="16"/>
          <w:szCs w:val="16"/>
        </w:rPr>
        <w:t xml:space="preserve"> 2011, 469, 351–355. doi:10.1038/nature09659.</w:t>
      </w:r>
    </w:p>
    <w:p>
      <w:pPr>
        <w:spacing w:after="24" w:line="210"/>
        <w:ind w:left="300" w:hanging="300"/>
        <w:jc w:val="both"/>
      </w:pPr>
      <w:r>
        <w:rPr>
          <w:rFonts w:ascii="Palatino Linotype" w:cs="Palatino Linotype" w:eastAsia="Palatino Linotype" w:hAnsi="Palatino Linotype"/>
          <w:sz w:val="16"/>
          <w:szCs w:val="16"/>
        </w:rPr>
        <w:t xml:space="preserve">18. Eichenbaum, M.S.; Rebelo, S.; Trabandt, M. The Macroeconomics of Epidemics. </w:t>
      </w:r>
      <w:r>
        <w:rPr>
          <w:rFonts w:ascii="Palatino Linotype" w:cs="Palatino Linotype" w:eastAsia="Palatino Linotype" w:hAnsi="Palatino Linotype"/>
          <w:i/>
          <w:iCs/>
          <w:sz w:val="16"/>
          <w:szCs w:val="16"/>
        </w:rPr>
        <w:t xml:space="preserve">Review of Financial Studies</w:t>
      </w:r>
      <w:r>
        <w:rPr>
          <w:rFonts w:ascii="Palatino Linotype" w:cs="Palatino Linotype" w:eastAsia="Palatino Linotype" w:hAnsi="Palatino Linotype"/>
          <w:sz w:val="16"/>
          <w:szCs w:val="16"/>
        </w:rPr>
        <w:t xml:space="preserve"> 2021, 34, 5149–5187. doi:10.1093/rfs/hhab040.</w:t>
      </w:r>
    </w:p>
    <w:p>
      <w:pPr>
        <w:spacing w:after="24" w:line="210"/>
        <w:ind w:left="300" w:hanging="300"/>
        <w:jc w:val="both"/>
      </w:pPr>
      <w:r>
        <w:rPr>
          <w:rFonts w:ascii="Palatino Linotype" w:cs="Palatino Linotype" w:eastAsia="Palatino Linotype" w:hAnsi="Palatino Linotype"/>
          <w:sz w:val="16"/>
          <w:szCs w:val="16"/>
        </w:rPr>
        <w:t xml:space="preserve">19. Coquidé, C.; Lages, J.; Shepelyansky, D.L. Crisis Contagion in the World Trade Network. </w:t>
      </w:r>
      <w:r>
        <w:rPr>
          <w:rFonts w:ascii="Palatino Linotype" w:cs="Palatino Linotype" w:eastAsia="Palatino Linotype" w:hAnsi="Palatino Linotype"/>
          <w:i/>
          <w:iCs/>
          <w:sz w:val="16"/>
          <w:szCs w:val="16"/>
        </w:rPr>
        <w:t xml:space="preserve">Applied Network Science</w:t>
      </w:r>
      <w:r>
        <w:rPr>
          <w:rFonts w:ascii="Palatino Linotype" w:cs="Palatino Linotype" w:eastAsia="Palatino Linotype" w:hAnsi="Palatino Linotype"/>
          <w:sz w:val="16"/>
          <w:szCs w:val="16"/>
        </w:rPr>
        <w:t xml:space="preserve"> 2020, 5, 67. doi:10.1007/s41109-020-00304-z.</w:t>
      </w:r>
    </w:p>
    <w:p>
      <w:pPr>
        <w:spacing w:after="24" w:line="210"/>
        <w:ind w:left="300" w:hanging="300"/>
        <w:jc w:val="both"/>
      </w:pPr>
      <w:r>
        <w:rPr>
          <w:rFonts w:ascii="Palatino Linotype" w:cs="Palatino Linotype" w:eastAsia="Palatino Linotype" w:hAnsi="Palatino Linotype"/>
          <w:sz w:val="16"/>
          <w:szCs w:val="16"/>
        </w:rPr>
        <w:t xml:space="preserve">20. Acemoglu, D.; Ozdaglar, A.; Tahbaz-Salehi, A. Systemic Risk and Stability in Financial Networks.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2015, 105, 564–608. doi:10.1257/aer.20130456.</w:t>
      </w:r>
    </w:p>
    <w:p>
      <w:pPr>
        <w:spacing w:after="24" w:line="210"/>
        <w:ind w:left="300" w:hanging="300"/>
        <w:jc w:val="both"/>
      </w:pPr>
      <w:r>
        <w:rPr>
          <w:rFonts w:ascii="Palatino Linotype" w:cs="Palatino Linotype" w:eastAsia="Palatino Linotype" w:hAnsi="Palatino Linotype"/>
          <w:sz w:val="16"/>
          <w:szCs w:val="16"/>
        </w:rPr>
        <w:t xml:space="preserve">21. Starnini, M.; Boguñá, M.; Serrano, M.Á. Shock Propagation on Global Trade-Investment Multiplex Networks. </w:t>
      </w:r>
      <w:r>
        <w:rPr>
          <w:rFonts w:ascii="Palatino Linotype" w:cs="Palatino Linotype" w:eastAsia="Palatino Linotype" w:hAnsi="Palatino Linotype"/>
          <w:i/>
          <w:iCs/>
          <w:sz w:val="16"/>
          <w:szCs w:val="16"/>
        </w:rPr>
        <w:t xml:space="preserve">Scientific Reports</w:t>
      </w:r>
      <w:r>
        <w:rPr>
          <w:rFonts w:ascii="Palatino Linotype" w:cs="Palatino Linotype" w:eastAsia="Palatino Linotype" w:hAnsi="Palatino Linotype"/>
          <w:sz w:val="16"/>
          <w:szCs w:val="16"/>
        </w:rPr>
        <w:t xml:space="preserve"> 2019, 9, 13079. doi:10.1038/s41598-019-49173-2.</w:t>
      </w:r>
    </w:p>
    <w:p>
      <w:pPr>
        <w:spacing w:after="24" w:line="210"/>
        <w:ind w:left="300" w:hanging="300"/>
        <w:jc w:val="both"/>
      </w:pPr>
      <w:r>
        <w:rPr>
          <w:rFonts w:ascii="Palatino Linotype" w:cs="Palatino Linotype" w:eastAsia="Palatino Linotype" w:hAnsi="Palatino Linotype"/>
          <w:sz w:val="16"/>
          <w:szCs w:val="16"/>
        </w:rPr>
        <w:t xml:space="preserve">22. Hidalgo, C.A.; Hausmann, R. The Building Blocks of Economic Complexity.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2009, 106, 10570–10575. doi:10.1073/pnas.0900943106.</w:t>
      </w:r>
    </w:p>
    <w:p>
      <w:pPr>
        <w:spacing w:after="24" w:line="210"/>
        <w:ind w:left="300" w:hanging="300"/>
        <w:jc w:val="both"/>
      </w:pPr>
      <w:r>
        <w:rPr>
          <w:rFonts w:ascii="Palatino Linotype" w:cs="Palatino Linotype" w:eastAsia="Palatino Linotype" w:hAnsi="Palatino Linotype"/>
          <w:sz w:val="16"/>
          <w:szCs w:val="16"/>
        </w:rPr>
        <w:t xml:space="preserve">23. Caliendo, L.; Parro, F.; Rossi-Hansberg, E.; Sarte, P.-D. The Impact of Regional and Sectoral Productivity Changes on the U.S. Economy. </w:t>
      </w:r>
      <w:r>
        <w:rPr>
          <w:rFonts w:ascii="Palatino Linotype" w:cs="Palatino Linotype" w:eastAsia="Palatino Linotype" w:hAnsi="Palatino Linotype"/>
          <w:i/>
          <w:iCs/>
          <w:sz w:val="16"/>
          <w:szCs w:val="16"/>
        </w:rPr>
        <w:t xml:space="preserve">Review of Economic Studies</w:t>
      </w:r>
      <w:r>
        <w:rPr>
          <w:rFonts w:ascii="Palatino Linotype" w:cs="Palatino Linotype" w:eastAsia="Palatino Linotype" w:hAnsi="Palatino Linotype"/>
          <w:sz w:val="16"/>
          <w:szCs w:val="16"/>
        </w:rPr>
        <w:t xml:space="preserve"> 2018, 85, 2042–2096. doi:10.1093/restud/rdx082.</w:t>
      </w:r>
    </w:p>
    <w:p>
      <w:pPr>
        <w:spacing w:after="24" w:line="210"/>
        <w:ind w:left="300" w:hanging="300"/>
        <w:jc w:val="both"/>
      </w:pPr>
      <w:r>
        <w:rPr>
          <w:rFonts w:ascii="Palatino Linotype" w:cs="Palatino Linotype" w:eastAsia="Palatino Linotype" w:hAnsi="Palatino Linotype"/>
          <w:sz w:val="16"/>
          <w:szCs w:val="16"/>
        </w:rPr>
        <w:t xml:space="preserve">24. Eaton, J.; Kortum, S. Technology, Geography, and Trade.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2002, 70, 1741–1779. doi:10.1111/1468-0262.00352.</w:t>
      </w:r>
    </w:p>
    <w:p>
      <w:pPr>
        <w:spacing w:after="24" w:line="210"/>
        <w:ind w:left="300" w:hanging="300"/>
        <w:jc w:val="both"/>
      </w:pPr>
      <w:r>
        <w:rPr>
          <w:rFonts w:ascii="Palatino Linotype" w:cs="Palatino Linotype" w:eastAsia="Palatino Linotype" w:hAnsi="Palatino Linotype"/>
          <w:sz w:val="16"/>
          <w:szCs w:val="16"/>
        </w:rPr>
        <w:t xml:space="preserve">25. OECD. Inter-Country Input-Output (ICIO) Tables, 2025 Edition (Year 2019); OECD: Paris, 2025.</w:t>
      </w:r>
    </w:p>
    <w:p>
      <w:pPr>
        <w:spacing w:after="24" w:line="210"/>
        <w:ind w:left="300" w:hanging="300"/>
        <w:jc w:val="both"/>
      </w:pPr>
      <w:r>
        <w:rPr>
          <w:rFonts w:ascii="Palatino Linotype" w:cs="Palatino Linotype" w:eastAsia="Palatino Linotype" w:hAnsi="Palatino Linotype"/>
          <w:sz w:val="16"/>
          <w:szCs w:val="16"/>
        </w:rPr>
        <w:t xml:space="preserve">26. International Monetary Fund. PortWatch: Daily Chokepoint Transit Data; IMF: Washington, DC, 2021–2024.</w:t>
      </w:r>
    </w:p>
    <w:p>
      <w:pPr>
        <w:spacing w:after="24" w:line="210"/>
        <w:ind w:left="300" w:hanging="300"/>
        <w:jc w:val="both"/>
      </w:pPr>
      <w:r>
        <w:rPr>
          <w:rFonts w:ascii="Palatino Linotype" w:cs="Palatino Linotype" w:eastAsia="Palatino Linotype" w:hAnsi="Palatino Linotype"/>
          <w:sz w:val="16"/>
          <w:szCs w:val="16"/>
        </w:rPr>
        <w:t xml:space="preserve">27. OICA; JAMA; VDA; SIA. Industry Motor-Vehicle and Semiconductor Production Statistics, 1999–2023.</w:t>
      </w:r>
    </w:p>
    <w:p>
      <w:pPr>
        <w:keepNext/>
        <w:spacing w:after="70" w:before="200"/>
      </w:pPr>
      <w:r>
        <w:rPr>
          <w:rFonts w:ascii="Palatino Linotype" w:cs="Palatino Linotype" w:eastAsia="Palatino Linotype" w:hAnsi="Palatino Linotype"/>
          <w:b/>
          <w:bCs/>
          <w:color w:val="1A1A1A"/>
          <w:sz w:val="21"/>
          <w:szCs w:val="21"/>
        </w:rPr>
        <w:t xml:space="preserve">Appendix A. Full event benchmark (N=27)</w:t>
      </w:r>
    </w:p>
    <w:p>
      <w:pPr>
        <w:spacing w:after="20" w:line="240"/>
        <w:jc w:val="both"/>
      </w:pPr>
      <w:r>
        <w:rPr>
          <w:rFonts w:ascii="Palatino Linotype" w:cs="Palatino Linotype" w:eastAsia="Palatino Linotype" w:hAnsi="Palatino Linotype"/>
          <w:sz w:val="19"/>
          <w:szCs w:val="19"/>
        </w:rPr>
        <w:t xml:space="preserve">Generated from seed_data.py; per-event primary sources are line-by-line in historical_events.csv. “Magn.” is the source-side shock magnitude (model input), “Target” is the observed loss (validation output).</w:t>
      </w:r>
    </w:p>
    <w:p>
      <w:pPr>
        <w:sectPr>
          <w:type w:val="continuous"/>
          <w:pgSz w:w="11906" w:h="16838" w:orient="portrait"/>
          <w:pgMar w:top="1134" w:right="1134" w:bottom="1134" w:left="1134" w:header="708" w:footer="708" w:gutter="0"/>
          <w:pgNumType/>
          <w:cols w:space="454" w:num="2" w:equalWidth="true"/>
          <w:docGrid w:linePitch="360"/>
        </w:sectPr>
      </w:pP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560"/>
        <w:gridCol w:w="3778"/>
        <w:gridCol w:w="2600"/>
        <w:gridCol w:w="900"/>
        <w:gridCol w:w="900"/>
        <w:gridCol w:w="900"/>
      </w:tblGrid>
      <w:tr>
        <w:trPr>
          <w:tblHeader/>
        </w:trPr>
        <w:tc>
          <w:tcPr>
            <w:tcW w:type="dxa" w:w="56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w:t>
            </w:r>
          </w:p>
        </w:tc>
        <w:tc>
          <w:tcPr>
            <w:tcW w:type="dxa" w:w="377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Event</w:t>
            </w:r>
          </w:p>
        </w:tc>
        <w:tc>
          <w:tcPr>
            <w:tcW w:type="dxa" w:w="2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Magn.</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Dur.</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Target</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covid-semiconductor-2020-2021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suez-canal-2021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auto-chip-shortage-2021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japan-triple-disaster-2011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0.039</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us-china-tariffs-2019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texas-winter-storm-2021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eu-energy-crisis-2021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malaysia-semiconductor-2021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MYS:semiconductors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thailand-floods-2011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kumamoto-earthquake-2016</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renesas-naka-fire-2021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13</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japan-korea-export-controls-2019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vietnam-covid-lockdown-2021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VNM:electronics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shanghai-lockdown-2022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ukraine-war-harness-2022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china-power-crunch-2021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yantian-port-closure-2021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red-sea-crisis-2023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taiwan-drought-2021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india-covid-wave-2021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taiwan-chichi-earthquake-1999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hurricane-harvey-2017</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USA:consumer_goods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us-west-coast-ports-2015</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korea-trucker-strikes-2022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panama-canal-drought-2023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CP:Panama</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gfc-auto-collapse-2008-2009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39</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0.130</w:t>
            </w:r>
          </w:p>
        </w:tc>
      </w:tr>
    </w:tbl>
    <w:p>
      <w:pPr>
        <w:sectPr>
          <w:type w:val="continuous"/>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Appendix B. Reproducibility</w:t>
      </w:r>
    </w:p>
    <w:p>
      <w:pPr>
        <w:spacing w:after="20" w:line="240"/>
        <w:jc w:val="both"/>
      </w:pPr>
      <w:r>
        <w:rPr>
          <w:rFonts w:ascii="Palatino Linotype" w:cs="Palatino Linotype" w:eastAsia="Palatino Linotype" w:hAnsi="Palatino Linotype"/>
          <w:sz w:val="19"/>
          <w:szCs w:val="19"/>
        </w:rPr>
        <w:t xml:space="preserve">All numbers in the paper regenerate from the repository:</w:t>
      </w:r>
    </w:p>
    <w:tbl>
      <w:tblPr>
        <w:tblW w:type="dxa" w:w="9638"/>
        <w:tblBorders>
          <w:top w:val="single" w:color="D7E2DB" w:sz="3"/>
          <w:left w:val="single" w:color="D7E2DB" w:sz="3"/>
          <w:bottom w:val="single" w:color="D7E2DB" w:sz="3"/>
          <w:right w:val="single" w:color="D7E2DB" w:sz="3"/>
          <w:insideH w:val="none" w:color="FFFFFF" w:sz="0"/>
          <w:insideV w:val="none" w:color="FFFFFF" w:sz="0"/>
        </w:tblBorders>
      </w:tblPr>
      <w:tblGrid>
        <w:gridCol w:w="9638"/>
      </w:tblGrid>
      <w:tr>
        <w:tc>
          <w:tcPr>
            <w:tcW w:type="dxa" w:w="9638"/>
            <w:shd w:fill="F2F2F0" w:val="clear"/>
            <w:tcMar>
              <w:top w:type="dxa" w:w="80"/>
              <w:left w:type="dxa" w:w="120"/>
              <w:bottom w:type="dxa" w:w="80"/>
              <w:right w:type="dxa" w:w="120"/>
            </w:tcMar>
          </w:tcPr>
          <w:p>
            <w:pPr>
              <w:spacing w:after="0" w:line="220"/>
            </w:pPr>
            <w:r>
              <w:rPr>
                <w:rFonts w:ascii="Consolas" w:cs="Consolas" w:eastAsia="Consolas" w:hAnsi="Consolas"/>
                <w:sz w:val="16"/>
                <w:szCs w:val="16"/>
              </w:rPr>
              <w:t xml:space="preserve">cd backend</w:t>
            </w:r>
          </w:p>
          <w:p>
            <w:pPr>
              <w:spacing w:after="0" w:line="220"/>
            </w:pPr>
            <w:r>
              <w:rPr>
                <w:rFonts w:ascii="Consolas" w:cs="Consolas" w:eastAsia="Consolas" w:hAnsi="Consolas"/>
                <w:sz w:val="16"/>
                <w:szCs w:val="16"/>
              </w:rPr>
              <w:t xml:space="preserve">python -m scripts.significance_analysis   # significance.json (6.1, 6.2)</w:t>
            </w:r>
          </w:p>
          <w:p>
            <w:pPr>
              <w:spacing w:after="0" w:line="220"/>
            </w:pPr>
            <w:r>
              <w:rPr>
                <w:rFonts w:ascii="Consolas" w:cs="Consolas" w:eastAsia="Consolas" w:hAnsi="Consolas"/>
                <w:sz w:val="16"/>
                <w:szCs w:val="16"/>
              </w:rPr>
              <w:t xml:space="preserve">python -m scripts.power_analysis          # power_analysis.json (6.4)</w:t>
            </w:r>
          </w:p>
          <w:p>
            <w:pPr>
              <w:spacing w:after="0" w:line="220"/>
            </w:pPr>
            <w:r>
              <w:rPr>
                <w:rFonts w:ascii="Consolas" w:cs="Consolas" w:eastAsia="Consolas" w:hAnsi="Consolas"/>
                <w:sz w:val="16"/>
                <w:szCs w:val="16"/>
              </w:rPr>
              <w:t xml:space="preserve">python -m scripts.isef_figures            # 4 figures + CSVs</w:t>
            </w:r>
          </w:p>
          <w:p>
            <w:pPr>
              <w:spacing w:after="0" w:line="220"/>
            </w:pPr>
            <w:r>
              <w:rPr>
                <w:rFonts w:ascii="Consolas" w:cs="Consolas" w:eastAsia="Consolas" w:hAnsi="Consolas"/>
                <w:sz w:val="16"/>
                <w:szCs w:val="16"/>
              </w:rPr>
              <w:t xml:space="preserve">python -m scripts.results_onepager        # docs/RESULTS.md</w:t>
            </w:r>
          </w:p>
          <w:p>
            <w:pPr>
              <w:spacing w:after="0" w:line="220"/>
            </w:pPr>
            <w:r>
              <w:rPr>
                <w:rFonts w:ascii="Consolas" w:cs="Consolas" w:eastAsia="Consolas" w:hAnsi="Consolas"/>
                <w:sz w:val="16"/>
                <w:szCs w:val="16"/>
              </w:rPr>
              <w:t xml:space="preserve">python -c 'from app.core.ablation import run_ablation_study,save_ablation;</w:t>
            </w:r>
          </w:p>
          <w:p>
            <w:pPr>
              <w:spacing w:after="0" w:line="220"/>
            </w:pPr>
            <w:r>
              <w:rPr>
                <w:rFonts w:ascii="Consolas" w:cs="Consolas" w:eastAsia="Consolas" w:hAnsi="Consolas"/>
                <w:sz w:val="16"/>
                <w:szCs w:val="16"/>
              </w:rPr>
              <w:t xml:space="preserve">          save_ablation(run_ablation_study())'   # ablation (6.6)</w:t>
            </w:r>
          </w:p>
          <w:p>
            <w:pPr>
              <w:spacing w:after="0" w:line="220"/>
            </w:pPr>
            <w:r>
              <w:rPr>
                <w:rFonts w:ascii="Consolas" w:cs="Consolas" w:eastAsia="Consolas" w:hAnsi="Consolas"/>
                <w:sz w:val="16"/>
                <w:szCs w:val="16"/>
              </w:rPr>
              <w:t xml:space="preserve">python -c 'from app.core.sensitivity import run_sobol,save_sobol;</w:t>
            </w:r>
          </w:p>
          <w:p>
            <w:pPr>
              <w:spacing w:after="0" w:line="220"/>
            </w:pPr>
            <w:r>
              <w:rPr>
                <w:rFonts w:ascii="Consolas" w:cs="Consolas" w:eastAsia="Consolas" w:hAnsi="Consolas"/>
                <w:sz w:val="16"/>
                <w:szCs w:val="16"/>
              </w:rPr>
              <w:t xml:space="preserve">          save_sobol(run_sobol())'   # Sobol (6.7)</w:t>
            </w:r>
          </w:p>
          <w:p>
            <w:pPr>
              <w:spacing w:after="0" w:line="220"/>
            </w:pPr>
            <w:r>
              <w:rPr>
                <w:rFonts w:ascii="Consolas" w:cs="Consolas" w:eastAsia="Consolas" w:hAnsi="Consolas"/>
                <w:sz w:val="16"/>
                <w:szCs w:val="16"/>
              </w:rPr>
              <w:t xml:space="preserve">python -m scripts.identifiability_audit       # identifiability audit (6.7)</w:t>
            </w:r>
          </w:p>
          <w:p>
            <w:pPr>
              <w:spacing w:after="0" w:line="220"/>
            </w:pPr>
            <w:r>
              <w:rPr>
                <w:rFonts w:ascii="Consolas" w:cs="Consolas" w:eastAsia="Consolas" w:hAnsi="Consolas"/>
                <w:sz w:val="16"/>
                <w:szCs w:val="16"/>
              </w:rPr>
              <w:t xml:space="preserve">python -m scripts.spatial_recall_robustness   # reach-threshold sweep (6.5)</w:t>
            </w:r>
          </w:p>
          <w:p>
            <w:pPr>
              <w:spacing w:after="0" w:line="220"/>
            </w:pPr>
            <w:r>
              <w:rPr>
                <w:rFonts w:ascii="Consolas" w:cs="Consolas" w:eastAsia="Consolas" w:hAnsi="Consolas"/>
                <w:sz w:val="16"/>
                <w:szCs w:val="16"/>
              </w:rPr>
              <w:t xml:space="preserve">python -m scripts.clustering_icc --graph v3   # ICC of node-level residuals (8.3)</w:t>
            </w:r>
          </w:p>
          <w:p>
            <w:pPr>
              <w:spacing w:after="0" w:line="220"/>
            </w:pPr>
            <w:r>
              <w:rPr>
                <w:rFonts w:ascii="Consolas" w:cs="Consolas" w:eastAsia="Consolas" w:hAnsi="Consolas"/>
                <w:sz w:val="16"/>
                <w:szCs w:val="16"/>
              </w:rPr>
              <w:t xml:space="preserve">python -m pytest                              # 147 tests, all green</w:t>
            </w:r>
          </w:p>
        </w:tc>
      </w:tr>
    </w:tbl>
    <w:sectPr>
      <w:type w:val="continuous"/>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1A"/>
        <w:sz w:val="19"/>
        <w:szCs w:val="19"/>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523aa1ade757e495c443f46889ee0a5b946639.png"/><Relationship Id="rId8" Type="http://schemas.openxmlformats.org/officeDocument/2006/relationships/image" Target="media/171df3e3575383b655b04a9426bb257c8bc24438.png"/><Relationship Id="rId9" Type="http://schemas.openxmlformats.org/officeDocument/2006/relationships/image" Target="media/d823a4fac61c80987e17c1332d8dc51dd27bbfc4.png"/><Relationship Id="rId10" Type="http://schemas.openxmlformats.org/officeDocument/2006/relationships/image" Target="media/b46fe7d0f644b4f60d88d0ddc3fd2f9a0a85fa0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GEDS — three-axis validation (preprint)</dc:title>
  <dc:creator>GEDS</dc:creator>
  <cp:lastModifiedBy>Un-named</cp:lastModifiedBy>
  <cp:revision>1</cp:revision>
  <dcterms:created xsi:type="dcterms:W3CDTF">2026-08-07T14:23:41.384Z</dcterms:created>
  <dcterms:modified xsi:type="dcterms:W3CDTF">2026-08-07T14:23:41.384Z</dcterms:modified>
</cp:coreProperties>
</file>

<file path=docProps/custom.xml><?xml version="1.0" encoding="utf-8"?>
<Properties xmlns="http://schemas.openxmlformats.org/officeDocument/2006/custom-properties" xmlns:vt="http://schemas.openxmlformats.org/officeDocument/2006/docPropsVTypes"/>
</file>