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</w:pPr>
      <w:r>
        <w:rPr>
          <w:rFonts w:ascii="Palatino Linotype" w:cs="Palatino Linotype" w:eastAsia="Palatino Linotype" w:hAnsi="Palatino Linotype"/>
          <w:b/>
          <w:bCs/>
          <w:color w:val="0E7C3A"/>
          <w:sz w:val="24"/>
          <w:szCs w:val="24"/>
        </w:rPr>
        <w:t xml:space="preserve">Статья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b/>
          <w:bCs/>
          <w:color w:val="1A1A1A"/>
          <w:sz w:val="32"/>
          <w:szCs w:val="32"/>
        </w:rPr>
        <w:t xml:space="preserve">Может ли одно число отличить хорошую модель каскадов от наивной? Трёхосевая валидация симулятора глобальных цепочек поставок на 27 первично-документированных исторических событиях</w:t>
      </w:r>
    </w:p>
    <w:p>
      <w:pPr>
        <w:spacing w:after="40"/>
      </w:pPr>
      <w:r>
        <w:rPr>
          <w:rFonts w:ascii="Palatino Linotype" w:cs="Palatino Linotype" w:eastAsia="Palatino Linotype" w:hAnsi="Palatino Linotype"/>
          <w:sz w:val="22"/>
          <w:szCs w:val="22"/>
        </w:rPr>
        <w:t xml:space="preserve">Yerzat Mametayev</w:t>
      </w:r>
      <w:r>
        <w:rPr>
          <w:rFonts w:ascii="Palatino Linotype" w:cs="Palatino Linotype" w:eastAsia="Palatino Linotype" w:hAnsi="Palatino Linotype"/>
          <w:sz w:val="22"/>
          <w:szCs w:val="22"/>
          <w:vertAlign w:val="superscript"/>
        </w:rPr>
        <w:t xml:space="preserve"> 1,*</w:t>
      </w:r>
    </w:p>
    <w:p>
      <w:pPr>
        <w:spacing w:after="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1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Nazarbayev Intellectual School of Physics and Mathematics in Semey, Semey, Kazakhstan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*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Корреспонденция: mametaeverzat014@gmail.com</w:t>
      </w:r>
    </w:p>
    <w:tbl>
      <w:tblPr>
        <w:tblW w:type="dxa" w:w="9638"/>
        <w:tblBorders>
          <w:top w:val="single" w:color="D7E2DB" w:sz="4"/>
          <w:left w:val="single" w:color="D7E2DB" w:sz="4"/>
          <w:bottom w:val="single" w:color="D7E2DB" w:sz="4"/>
          <w:right w:val="single" w:color="D7E2DB" w:sz="4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5F7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20"/>
              <w:jc w:val="both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8"/>
                <w:szCs w:val="18"/>
              </w:rPr>
              <w:t xml:space="preserve">Аннотация: </w:t>
            </w:r>
            <w:r>
              <w:rPr>
                <w:rFonts w:ascii="Palatino Linotype" w:cs="Palatino Linotype" w:eastAsia="Palatino Linotype" w:hAnsi="Palatino Linotype"/>
                <w:sz w:val="18"/>
                <w:szCs w:val="18"/>
              </w:rPr>
              <w:t xml:space="preserve">Глобальные нарушения цепочек поставок — землетрясения, наводнения, блокировки каналов, финансовые кризисы — каскадируют между отраслями и странами, однако опубликованные имитационные модели, как правило, валидируются на одном-двух событиях и по одной метрике ошибки. Настоящая работа ставит вопрос: способна ли такая валидация вообще отличить содержательную модель от наивного бейслайна — и строит инфраструктуру, позволяющую на него ответить. Собран бенчмарк из 27 исторических событий (1999–2023, десять категорий), каждое откалибровано по первичным источникам согласно письменному протоколу иерархии источников, и трёхосевая система валидации, оценивающая (1) глобальную магнитуду потерь, (2) форму каскада на уровне узла (пик, тайминг, восстановление) и (3) пространственный охват. Протестированы четыре модели: авторский симулятор SEIRS-bullwhip-hysteresis (GEDS), межотраслевая модель Леонтьева, линейная сетевая диффузия и наивный предиктор среднего. По точечной магнитуде ни одна модель статистически значимо не превосходит другую (все шесть парных перестановочных тестов p ≥ 0,09 при N=27), и результат сохраняется при кросс-валидации с пофолдовой рекалибровкой (p = 0,89): валидация одним числом эти модели не различает. Анализ мощности показывает, что при N=27 минимальный детектируемый эффект (0,018 MAE) превышает реальные различия моделей (~0,007) — то есть паритет ограничен разрешением выборки, а не доказан. Траекторная валидация различает модели: GEDS, единственная модель, порождающая полные траектории, ранжирует длительности восстановления со Spearman 0,88 (95% ДИ 0,56–0,99) и тайминг пика с 0,69 (0,20–0,87). Замена ручного 12-странового графа на граф OECD ICIO из 405 узлов поднимает пространственный охват каскада с 0,29 до 0,79 без подстройки параметров. Все результаты детерминированы, зафиксированы golden-тестами и воспроизводятся из открытого репозитория.</w:t>
            </w:r>
          </w:p>
        </w:tc>
      </w:tr>
    </w:tbl>
    <w:p>
      <w:pPr>
        <w:spacing w:after="60" w:before="80"/>
        <w:jc w:val="both"/>
      </w:pPr>
      <w:r>
        <w:rPr>
          <w:rFonts w:ascii="Palatino Linotype" w:cs="Palatino Linotype" w:eastAsia="Palatino Linotype" w:hAnsi="Palatino Linotype"/>
          <w:b/>
          <w:bCs/>
          <w:sz w:val="18"/>
          <w:szCs w:val="18"/>
        </w:rPr>
        <w:t xml:space="preserve">Ключевые слова: 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цепочки поставок; распространение шоков; валидация моделей; SEIRS; бутстрэп; перестановочный тест; анализ мощности; OECD ICIO; бенчмарк каскадов</w:t>
      </w:r>
    </w:p>
    <w:p>
      <w:pPr>
        <w:pBdr>
          <w:left w:val="single" w:color="0E7C3A" w:sz="18" w:space="10"/>
        </w:pBdr>
        <w:spacing w:after="100" w:before="40"/>
        <w:ind w:left="160"/>
      </w:pP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Тип: рабочий препринт (проект ISEF).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Поступила / Принята / Опубликована: —.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Авторские права: © 2026 автор(ы). CC BY 4.0.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Все числа генерируются из артефактов репозитория и воспроизводимы с фиксированными сидами.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1. Введение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1.1. Мотивация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Блокировка Суэцкого канала контейнеровозом Ever Given (2021) остановила около 12% мировой торговли на шесть дней; наводнения в Таиланде (2011) сократили национальное автопроизводство на 87,5% в пиковый месяц; дефицит чипов 2020–2021 годов обошёлся мировому автопрому в 9,5 млн невыпущенных машин. Политикам и компаниям нужны модели, предсказывающие, как локальный шок распространится по глобальной производственной сети. Литература предлагает десятки таких моделей — но почти каждая валидируется на одном-двух событиях, чаще всего по единственному скаляру.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Эта работа начиналась как построение очередной модели. Она закончилась другим выводом: стандартный способ валидации не способен отличить сложную модель от наивной, и потому был построен валидационный инструмент, который на это способен.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1.2. Вопрос исследования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Может ли валидация по одному числу (пиковая магнитуда потерь) отличить содержательную модель распространения шоков от тривиальных бейслайнов — и если нет, какие оси валидации различают модели?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1.3. Вклад работы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1.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Бенчмарк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27 исторических событий-нарушений (1999–2023) с калибровочными целями из первичных источников по письменному протоколу иерархии источников; плюс библиотека из 17+ задокументированных «почти-промахов» как отрицательный контроль.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Трёхосевая валидационная система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глобальная магнитуда (Track A), форма траектории шокированного узла (Track B), пространственный охват и порядок поражения узлов.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3.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Статистический слой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событийный бутстрэп, парный бутстрэп с общими индексами, знаковые перестановочные тесты и анализ мощности — каждое «лучше/хуже» снабжено доверительным интервалом и p-значением.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4.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Честный главный результат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паритет всех четырёх моделей по магнитуде при N=27 (внутри- и вневыборочно, и это ограничение мощности, а не эквивалентность) и значимое разделение на траекторных осях, где конкурирует только GEDS.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5.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Механизменная находка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тайминг пика был на уровне случайности из-за отсутствия у движка нарастающей формы форсирования; дефект локализован, исправление принято через пре-регистрированный эксперимент с гейтом.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2. Связанные работы и позиционирование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Работа лежит на пересечении четырёх линий литературы; полные ссылки — в разделе «Литература».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Распространение шоков по производственным сетям.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Теоретический фундамент заложили Acemoglu et al. [1], показавшие сетевые истоки агрегатных флуктуаций, и продолжения о микро-истоках и распределениях (Acemoglu et al. [2]; Baqaee [3]; Bigio &amp; La'O [4]). Эмпирику закрыли Carvalho et al. [5], проследившие каскад землетрясения Тохоку по реальным цепочкам поставщиков, Barrot &amp; Sauvagnat [6] через специфичность вводимых ресурсов и Boehm et al. [7]. Гранулярность как источник агрегатных колебаний — Gabaix [8], di Giovanni &amp; Levchenko [9], Oberfield et al. [10]. Наша работа не добавляет теории — она использует эту структуру как субстрат и спрашивает, насколько хорошо динамические модели на ней предсказывают реальные каскады.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Имитационные и агентные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Inoue &amp; Todo [11] построили фирменно-уровневую агентную модель распространения по цепочкам поставок; Otto et al. [12] (Acclimate) моделируют климатические шоки на международной торговле. Эти работы валидируются на одном классе событий; наш вклад ортогонален — система сравнительной валидации, в которой такие модели ставятся рядом на общем бенчмарке.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Финансовое заражение.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Механика распространения по сетям изучена в финансах: Allen &amp; Gale [13], Gai &amp; Kapadia [14], Battiston et al. [15], Elliott et al. [16], Haldane &amp; May [17], Acemoglu et al. [20]. Мы заимствуем идею порогового каскада (узел переходит в «дистресс» при превышении эндогенного порога), но применяем к производственному выпуску.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Эпидемиологические динамики и валидация прогнозов.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Перенос SEIR-схем на экономику активизировался после COVID (Eichenbaum et al. [18]; Coquidé et al. [19]; Starnini et al. [21]). Методология сравнительной валидации — M-соревнования и бенчмарки временных графов — систематически обнаруживала, что простые методы неотличимы от сложных; наш результат воспроизводит этот паттерн в новой области.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Ниша.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Насколько нам известно, ни одна опубликованная работа не совмещает SEIRS-динамику, эффект хлыста и гистерезис в одном движке и, что важнее, не валидирует модель каскадов одновременно по магнитуде, форме траектории и пространственному охвату на десятках разнотипных событий с полным статистическим слоем. Пробел — не «ещё одна модель», а «как честно сравнивать такие модели».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3. Данные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3.1. Бенчмарк событий (N=27)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Каждое событие задаётся: шокируемый узел (страна:отрасль или чокпойнт), магнитуда шока на стороне источника, длительность, форма форсирования, горизонт; и наблюдаемая цель — глобальная/отраслевая потеря выпуска из первичного источника. Полный список — Приложение A. Категории: землетрясения, наводнения, пожары, локдауны, энергокризисы, портовые заторы, блокировки чокпойнтов, торговые ограничения, забастовки, финансовый кризис.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Протокол источников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(письменный): уровень 1 — отраслевые статагентства (OICA, JAMA, VDA, SIA) и официальные макроданные (центробанки, МВФ, IMF PortWatch [26]); уровень 2 — отчётность компаний; уровень 3 (Reuters/Bloomberg/Nikkei) — только при прямой цитате уровня 1/2. Правила: пик отличается от остаточного значения; производные числа помечаются [DERIVED]; узел назначается по месту производства.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Отрицательный контроль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события без чистого первичного числа (пожар Philips 2000) или со структурной неполнотой графа (Boeing 737 MAX) документируются как невключённые с указанием причины. База содержит 17+ «почти-промахов» — событий, где каскада почти не было: модель штрафуется за ложные срабатывания.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3.2. Цели траекторной валидации и граф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Для Track B собраны: пиковая потеря выпуска шокированного сектора в стране-источнике (только измеримые цели, статус «null» с причиной, где источника нет); недели до пика и до восстановления 90%; 62 строки «событие → поражённый узел → неделя начала» с первичной ссылкой. Граф v2: 41 узел (12 стран × 6 отраслей + 5 чокпойнтов), веса перепроверены против OECD ICIO [25] (Spearman 0,79–0,84). Граф v3: 405 узлов (81 экономика × 5 секторов) непосредственно из таблиц ICIO 2019.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4.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GEDS (SEIRS-Bullwhip-Hysteresis)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авторский движок: каждый узел проходит состояния Susceptible → Exposed (буфер запасов поглощает дефицит) → Infected (потеря выпуска с нелинейным усилением) → Recovered (гистерезис).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(ноль подгоняемых параметров): межотраслевая модель Леонтьева, линейная сетевая диффузия, наивный предиктор среднего. Конфигурация детерминирована (stochastic_sigma = 0, seed = 0) и запинена golden-тестом.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4.1. Формальная спецификация движка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Пусть s_i(t) ∈ [0, 1] — уровень шока узла i на неделе t; D_eff — матрица эффективных зависимостей. Обновление за шаг (векторизовано по узлам). Входящее давление с эффектом хлыста, где β_i = bullwhip-фактор (1,25 в состоянии 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β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eff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[i,j] ·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(1)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Импульс воздействия (δ — propagation_decay, V — уязвимость, A — нелинейное усиление, ρ — устойчивость, множитель (1−s) даёт насыщение):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V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A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(1−s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(2)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Недельная скорость восстановления, привязанная к узловой задержке delay_i (8 недель — опорная):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γ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clip( recovery_rate · (8 / max(delay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, 0,5)), 0, 0,95 )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(3)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Переход состояния, где x_i — внешнее форсирование события (форма step/linear/exp/ramp), r_i = γ_i·s_i для незафорсированных узлов, ε — шум (в бенчмарке ε ≡ 0):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 = clip( max( x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(t+1),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− r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ε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), 0, 1 )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(4)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Наблюдаемая потеря выпуска узла (η — эластичность, f_i — пол гистерезиса R-состояния, ≥ 0,30 пока узел восстанавливается):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L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max(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η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), f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(5)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Скалярный индекс тяжести каскада (c_i — центральность узла, d_i — входная экспозиция):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CSI(t) = (1/N)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c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(6)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Состояния SEIRS.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Узел из S переходит в E при пересечении входящим давлением триггера (буфер запасов глубиной inventory_scale поглощает дефицит), из E — в I, из I — в R при спаде шока; в R держится delay_i недель с полом выпуска f_i, затем возвращается в S — это и есть гистерезис.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Пять калибруемых параметров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θ = (amplification_mu, bullwhip_factor, recovery_rate, inventory_scale, distress_base); остальные величины структурны либо фиксированы. Бейслайны формально: Леонтьев решает (I−A)^{-1}-подобное равновесие потерь; линейная диффузия итерирует s(t+1)=s(t)+δ·(W·s(t)) без насыщения и восстановления; наивный предиктор возвращает среднее выборки.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5. Методы валидации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5.1. Три оси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A (магнитуда)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предсказанная против наблюдаемой глобальной/отраслевой потери, N=27; MAE, RMSE, Spearman.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B (форма)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траектория непосредственно шокированного узла: пиковая магнитуда (n=5), недели до пика (n=15), недели до восстановления 90% (n=11).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Spatial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доля исторически поражённых узлов, до которых каскад доходит (recall), и ранговая корреляция порядка поражения.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5.2. Статистический слой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При N=27 вопрос «значимо ли различие?» первичен. Все процедуры детерминированы (сид 20260718) и ресемплируют целые события.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Бутстрэп-ДИ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каждой метрики: 10 000 ресемплов, перцентильные 95% интервалы.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Парный бутстрэп разностей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общие индексы ресемплов для обеих моделей.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Знаковый перестановочный тест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пары (A, B) с поэлементными ошибками e_A, e_B: статистика T = |mean(|e_A|−|e_B|)|; под H0 знак каждой разности переворачивается независимо (20 000 перестановок); двусторонний p: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p = (1 + #{ T* ≥ T }) / (20000 + 1)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Анализ мощности / минимальный детектируемый эффект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для парных разностей d_i минимальная средняя разность MAE, детектируемая при мощности 80% и α=0,05, и требуемое N для наблюдаемой разности: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MDE = (z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0,975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+ 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0,80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sd(d) / √N ,   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req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( 2,80 · sd(d) / |mean(d)| )</w:t>
      </w:r>
      <w:r>
        <w:rPr>
          <w:rFonts w:ascii="Palatino Linotype" w:cs="Palatino Linotype" w:eastAsia="Palatino Linotype" w:hAnsi="Palatino Linotype"/>
          <w:sz w:val="18"/>
          <w:szCs w:val="18"/>
          <w:vertAlign w:val="superscript"/>
        </w:rPr>
        <w:t xml:space="preserve">2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(8)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Вневыборочная проверка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кросс-валидация leave-one-out с пофолдовой рекалибровкой пяти параметров дифференциальной эволюцией — удерживаемое событие не влияет на свои параметры; у бейслайнов параметров нет.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5.3. Пре-регистрация механизменных изменений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Любое изменение движка проходит через заранее объявленный гейт. Прецеденты отрицательных исходов сохранены: поглощение запасами, поузловое восстановление, удаление пола гистерезиса — все три улучшали внутривыборочные метрики и были отвергнуты по вневыборочному гейту. Принятое изменение (ramp, §6.3) прошло тот же протокол.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6. Результаты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6.1. Track A: паритет магнитуды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Четыре модели на дефолтных параметрах — Таблица 1. Точечные оценки создают видимость иерархии, но ни одна из шести парных разностей MAE не значима (Рисунок 1): GEDS−Леонтьев ΔMAE +0,0074 [−0,0031; +0,0218], p=0,42; Леонтьев−наивное −0,0040 [−0,0083; +0,0005], p=0,09; остальные p=0,21–0,97.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При N=27 валидация одним числом не ранжирует эти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Значимы только ранговые сигналы: линейная диффузия (0,72 [0,40; 0,91]) и GEDS (0,45 [0,06; 0,73]).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Четыре модели на дефолтных параметрах; MAE / RMSE / Spearman с 95% бутстрэп-ДИ (N=27).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2079"/>
        <w:gridCol w:w="2079"/>
        <w:gridCol w:w="2080"/>
      </w:tblGrid>
      <w:tr>
        <w:trPr>
          <w:tblHeader/>
        </w:trPr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 [95% ДИ]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RMSE [95% ДИ]</w:t>
            </w:r>
          </w:p>
        </w:tc>
        <w:tc>
          <w:tcPr>
            <w:tcW w:type="dxa" w:w="208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(SEIRS-b.-h.)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 [0,011; 0,040]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0,0464 [0,021; 0,067]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 [0,06; 0,73]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0,0168 [0,008; 0,028]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0,0313 [0,011; 0,046]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0,34 [−0,10; 0,67]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 [0,009; 0,029]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0,0317 [0,012; 0,049]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0,72 [0,40; 0,91]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0,0208 [0,013; 0,031]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0,0324 [0,014; 0,047]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 (константа)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Парные разности MAE (первая минус вторая) с 95% парными бутстрэп-ДИ и двусторонними перестановочными p. Все шесть пар пересекают ноль.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481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Предсказанное против наблюдаемого по каждой модели, N=27; пунктир — идеальное совпадение.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6.2. Track B: траекторные оси разделяют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Ни Леонтьев, ни наивное среднее траекторий не порождают; линейная диффузия даёт кривую без восстановления. Полную форму «пик → спад → восстановление» предсказывает только GEDS — и на этих осях результат значим (Таблица 2). Ранжирование восстановления (0,88) — сильнейший результат; ДИ обеих временных осей не содержат ноль. Ось магнитуды при n=5 статистически пуста и заявляется только как ограничение.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Track B: оси формы траектории на уровне узла (единственные оси, которые порождает только GEDS).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900"/>
        <w:gridCol w:w="3138"/>
        <w:gridCol w:w="20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Ось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</w:t>
            </w:r>
          </w:p>
        </w:tc>
        <w:tc>
          <w:tcPr>
            <w:tcW w:type="dxa" w:w="31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Пиковая магнитуда узла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0,71 [−0,09; 1,00] — не заявляем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пика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0,69 [0,20; 0,87]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7,1 нед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восстановления 90%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0,88 [0,56; 0,99]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8,5 нед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Робастность к отдельным точкам (jackknife).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Тест leave-one-out (последовательно удаляем каждое событие и пересчитываем Spearman) опровергает подозрение, что корреляция держится на одной точке: для недель-до-пика полная оценка 0,691, диапазон LOO [0,619; 0,790]; для восстановления полная 0,883, диапазон LOO [0,843; 0,917]. Ни одно единичное событие не роняет корреляцию ниже 0,62 и 0,84 соответственно.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6.3. Механизменная находка: почему тайминг был на нуле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До этой работы недели-до-пика показывали Spearman 0,07 [−0,43; +0,53] — уровень случайности. Форензика локализовала причину: все три реализованные формы шока (step, linear, exp) имеют максимум в момент начала, а храповик обновления состояния рендерит убывающее форсирование как прямоугольный импульс — 12 из 15 предсказанных пиков приходились на неделю 0. У движка отсутствовала форма «медленно нарастающий шок», которой требуют засухи, заторы и спросовые коллапсы.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Исправление: добавлена форма ramp (линейное нарастание), четыре события переведены на неё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реальному механизму, объявленному до запуска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Пре-регистрированный гейт из четырёх критериев пройден: Spearman недель-до-пика 0,07 → 0,69; просадка других осей 0,00; цена по бенчмарку +0,0001 MAE; нетронутые события бит-идентичны (Рисунок 3).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Недели до пика: предсказанное против наблюдаемого до (полые) и после (закрашенные) принятия формы ramp; Spearman 0,07 → 0,69.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6.4. Вневыборочная проверка и анализ мощности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27-фолдовый LOO с пофолдовой DE-рекалибровкой: MAE 0,0192, RMSE 0,0422, Pearson 0,25, Spearman 0,56, R² −0,70. Парно против Леонтьева: ΔMAE +0,0024 [−0,0073; +0,0167], p=0,89 — паритет держится и вневыборочно. Два систематических промаха фиксируются честно: Чи-Чи 1999 (0,19 против 0,005 — источниковый узел не залечивается за горизонт) и кризис 2008–09 (0,051 против 0,130 — спросовый коллапс структурно не похож на каскады предложения).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Паритет — это ограничение мощности, а не доказанная эквивалентность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(Таблица 3). При N=27 минимальный детектируемый эффект для GEDS/Леонтьев равен 0,0184, тогда как наблюдаемые разности ~0,004–0,007 лежат ниже разрешения. Чтобы различить наблюдаемую разность, требуется ≈166 событий. Это превращает нулевой результат в ограниченное сверху утверждение и задаёт метрику для набора данных.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Анализ мощности: минимальный детектируемый эффект при N=27 и требуемое N для наблюдаемой разности.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набл. ΔMAE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MDE при N=27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 для детекции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Леонтьев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≈166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лин. диффузия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0,0149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≈119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 vs наивное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−0,0040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≈69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6.5. Spatial: полнота сети, а не подгонка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Тот же движок, те же шоки — меняется только граф (Таблица 4). Плотный граф закрывает дыры, которые ручной не мог выразить (каскад пожара Renesas в иностранный автопром: 0/4 → 3/4). Порядок поражения ранжируется хорошо (Spearman 0,79). Ни один параметр не менялся: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связывающее ограничение — полнота сети, а не тонкость динамики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(Рисунок 4).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каскада: ручной граф v2 против ICIO-графа v3.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2000"/>
        <w:gridCol w:w="380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Граф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Узлы</w:t>
            </w:r>
          </w:p>
        </w:tc>
        <w:tc>
          <w:tcPr>
            <w:tcW w:type="dxa" w:w="3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Пространственный recall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v2, ручной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0,29 (10/35)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v3, OECD ICIO 2019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405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0,79 (30/38)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по событиям: доля исторически поражённых узлов на ручном графе v2 (полые) и ICIO-графе v3 (закрашенные).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6.6. Абляция компонентов: что из сложной модели реально работает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Покомпонентная абляция (N=27, каждый компонент по очереди отключается — Таблица 5) отвечает на вопрос, какие части несут вес, и главное в ответе — что таблица НЕ является ранжированием компонентов. Ни одна из шести разностей не отличима от нуля: все 95% ДИ накрывают ноль, все p после поправки Холма равны 1,00. Каждая |ΔMAE| здесь (максимум 0,0076) меньше собственного минимального детектируемого эффекта бенчмарка (0,018 при мощности 80%). При N=27 бенчмарк не способен отличить ни один компонент движка от любого другого. Точечные оценки указывают в одну сторону — SEIS-машина (−0,0076) и пол гистерезиса (−0,0074) стоят точности, причём разница между ними (0,0002) означает, что практически вся цена SEIRS это пол R-состояния, а не переходы S/E/I, — но заявлять это как результат нельзя: сигнал ниже разрешения набора. Примечание об исправлении: в предыдущей версии строка «−SEIS» показывала 0,0242 и ΔMAE ровно 0,0000; это была ошибка кода (флаг seis_enabled не действовал, update_seis вызывался безусловно), а не свойство модели. Настоящая абляция даёт 0,0166; заголовочные числа §6.1 не затронуты.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5.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Покомпонентная абляция движка (N=27): вклад каждого компонента в MAE.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1400"/>
        <w:gridCol w:w="3400"/>
        <w:gridCol w:w="12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Вариант</w:t>
            </w:r>
          </w:p>
        </w:tc>
        <w:tc>
          <w:tcPr>
            <w:tcW w:type="dxa" w:w="1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ΔMAE к полной [95% ДИ]</w:t>
            </w:r>
          </w:p>
        </w:tc>
        <w:tc>
          <w:tcPr>
            <w:tcW w:type="dxa" w:w="1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p (Холм)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Полный движок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−SEIS (без машины состояний)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0,0166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−0,0076 [−0,0206; +0,0018]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−пол R-состояния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0,0169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−0,0074 [−0,0200; +0,0018]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чистая линейная диффузия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−0,0071 [−0,0182; +0,0018]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+поузловое восстановление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0,0233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−0,0009 [−0,0029; +0,0001]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−адаптивная перемаршрутизация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−0,0000 [−0,0001; +0,0001]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−bullwhip (β = 1)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+0,0023 [−0,0009; +0,0079]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6.7. Чувствительность и идентифицируемость параметров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Глобальный анализ чувствительности Соболя (variance-based, 1536 прогонов движка, выход — mean_industry_loss_MAE, N=27 — Таблица 6) отвечает, идентифицируемы ли пять параметров. Дисперсию выхода несут два параметра — recovery_rate (ST 0,62) и inventory_scale (ST 0,59), причём их низкие индексы первого порядка (S1 0,39 и 0,42) против высоких полных эффектов указывают на сильное взаимодействие между ними (сумма ST ≈ 1,30 ≫ 1); два параметра пренебрежимы и могут быть зафиксированы, ещё один минорный. То есть три из пяти параметров практически неидентифицируемы по отдельности, а подгоночная свобода сосредоточена в связанной паре (recovery_rate, inventory_scale). Это независимо подтверждает §6.6 (модель переусложнена относительно того, что данные при N=27 способны ограничить) и объясняет, почему пофолдовая рекалибровка §6.4 так легко «маскирует» структурные правки. (MCMC при 350 шагах не сошёлся, r̂=2,03; байесовские интервалы — предмет отдельной прогонки, отнесённой к дальнейшей работе.)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6.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Индексы чувствительности Соболя (N=27): полный эффект ST и первого порядка S1 для пяти параметров.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238"/>
        <w:gridCol w:w="1600"/>
        <w:gridCol w:w="1600"/>
        <w:gridCol w:w="3200"/>
      </w:tblGrid>
      <w:tr>
        <w:trPr>
          <w:tblHeader/>
        </w:trPr>
        <w:tc>
          <w:tcPr>
            <w:tcW w:type="dxa" w:w="3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ST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S1</w:t>
            </w:r>
          </w:p>
        </w:tc>
        <w:tc>
          <w:tcPr>
            <w:tcW w:type="dxa" w:w="3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Читается как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recovery_rate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0,617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0,392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несёт дисперсию +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inventory_scale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0,592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0,416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несёт дисперсию +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bullwhip_factor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0,011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минорный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amplification_mu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distress_base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6.8. Структура против подгонки: плотный граф с одним параметром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Раздел 6.5 показал, что ICIO-граф достаёт до гораздо большей части наблюдаемого каскада, но его магнитуды никогда не оценивались: параметры v3 — неоткалиброванные структурные априори, и предсказания идут примерно вчетверо выше наблюдаемых. Перед нами ошибка формы или масштаба?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Ответ — масштаба. На дефолтных параметрах сырой v3 ранжирует события заметно лучше полностью откалиброванного v2 (Spearman 0,80 против 0,44) при систематическом завышении (среднее предсказание 0,090 против наблюдаемого 0,023). Мы добавили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единственную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свободную величину — глобальный масштабный коэффициент, подобранный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(leave-one-out: k оценивается на остальных N−1 событиях и применяется к удерживаемому). Чокпойнт-события в v3 не представлены, поэтому все модели сравниваются на одних и тех же 24 событиях (Таблица 7). Средний LOO-коэффициент k ≈ 0,26 устойчив по фолдам.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7.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Плотный ICIO-граф с одним вневыборочным масштабным коэффициентом против калиброванного v2 и безпараметрических бейслайнов (одинаковые 24 события).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1900"/>
        <w:gridCol w:w="1950"/>
        <w:gridCol w:w="195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1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Свободных пар-ров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+ LOO-масштаб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0,0133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+0,788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0,0182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+0,331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+0,707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0,0227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v2 (откалиброван)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+0,444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сырой (без масштаба)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0,0677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+0,802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Это первая конфигурация, лидирующая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всем метрикам одновременно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причём достигнутая одним параметром вместо пяти.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Чего мы при этом НЕ утверждаем: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ни одно преимущество не значимо — против Leontief ΔMAE −0,0049 (p = 0,34), против линейной диффузии −0,0052 (p = 0,50), против наивного среднего −0,0094 (p = 0,06), против v2 −0,0132 (p = 0,17). Вывод §6.1 о паритете не опровергнут, а подтверждён ещё раз, уже на лучшей доступной конфигурации: даже она не отделяется от бейслайнов при таком N — ровно как предсказывает анализ мощности §6.4.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Содержательный смысл в другом. Замена ручного графа на измеренную структуру input-output даёт по магнитуде больше, чем калибровка пяти параметров динамики на ручном графе (0,0133 против 0,0266) — это магнитудный аналог пространственного результата §6.5. Оба указывают в одну сторону: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информация, которую несёт полнота и точность сети, не заменяется подгонкой параметров.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6.9. Полная калибровка v3: пять параметров значимо ХУЖЕ одного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Пятипараметрическая LOO-калибровка на плотном графе (24 фолда, пофолдовая дифференциальная эволюция) проведена и даёт неожиданный результат — Таблица 7. Парное сравнение одного параметра против пяти: ΔMAE = −0,0148, 95% ДИ [−0,0292; −0,0031], сырое p = 0,037. Но это сравнение входит в семейство из пяти сравнений против одной опорной модели, и после поправки Холма скорректированное p = 0,18: значимых различий в семействе ноль. В предыдущей версии работы это сравнение объявлялось «единственным статистически значимым различием моделей»; корректная формулировка — на оси магнитуды в работе нет ни одного различия, устоявшего против поправки на множественность. Точечный результат тем не менее указывает туда же, куда и всё остальное: на графе из 405 узлов при ~23 обучающих событиях на фолд четыре дополнительные степени свободы не окупаются. Результат согласуется с §6.6 (ни одна абляция не значима), §6.7 (три из пяти параметров упираются в границы априорного ящика, один гуляет в 35 раз при удалении одного события) и §6.1 (не хватает мощности) — четыре независимых метода приходят к одному выводу о переусложнении.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7.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Полное вневыборочное сравнение на плотном графе v3 (24 фолда, leave-one-out).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600"/>
        <w:gridCol w:w="1800"/>
        <w:gridCol w:w="20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Конфигурация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Парам.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 + один масштаб (LOO)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+0,788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 + пять параметров (LOO-DE)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0,0281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+0,565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 + пять параметров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+0,444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 / диффузия / наивное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0,0182 / 0,0185 / 0,0227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6.10. Плотный граф закрывает обе структурные «стены»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Два систематических промаха, объявленных в §6.4 нерешёнными и не поддавшихся трём пре-регистрированным механизменным экспериментам, на плотном графе почти исчезают (вневыборочно, LOO-DE): землетрясение Чи-Чи 1999 — абсолютная ошибка 0,188 → 0,014 (13,6×), финансовый кризис 2008–09 — 0,079 → 0,028 (2,9×). Это меняет диагноз обоих провалов. Чи-Чи не залечивался, а кризис 2008–09 недооценивался не потому, что движку не хватало механизма, — а потому, что ручной граф из 41 узла не мог выразить пути, по которым эти шоки распространялись в реальности. Три попытки чинить динамику (§5.3) провалились именно поэтому: они лечили не ту причину.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Обе «стены» оказались проблемой покрытия сети, а не проблемой динамики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сильнейшее подтверждение центрального тезиса работы.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Честные оговорки к §6.9–6.10: набор здесь — 24 события (у чокпойнтов нет узла в v3), поэтому эти числа не сопоставимы напрямую с заголовочными N=27; и класс модели (коррекция масштаба) был выбран уже после того, как поведение v3 стало известно — сам масштаб подбирается вневыборочно, но выбор именно этой формы коррекции не был пре-регистрирован. Преимущество над безпараметрическими бейслайнами остаётся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незначимым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(p = 0,06–0,50), то есть заголовочный вывод §6.1 о паритете сохраняется.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6.11. Справилось бы машинное обучение?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Естественное возражение к §6.1: возможно, дело не в объёме данных, а в том, что все четыре модели механистические. Проверено напрямую — три обучаемые модели на 11 признаках события, известных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исхода (магнитуда, длительность, горизонт, число шоков, форма форсирования, признак чокпойнта, доля узла в мировом ВВП, центральность, исходящая степень, произведение магнитуды на длительность). Оценка leave-one-out: каждое событие предсказывается моделью, которая его не видела (Таблица 8).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8.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Обучаемые модели против механистических: leave-one-out, 11 признаков, известных до исхода.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2000"/>
        <w:gridCol w:w="1800"/>
        <w:gridCol w:w="16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Тип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Градиентный бустинг (LOO)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0,0142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+0,666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обучаемая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Случайный лес (LOO)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0,0167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+0,504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обучаемая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0,0168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+0,340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механистическая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Гребневая регрессия (LOO)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+0,611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обучаемая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+0,718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механистическая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0,0208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тривиальная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+0,451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механистическая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Градиентный бустинг даёт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лучшую MAE среди всех моделей работы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, но против наивного среднего ΔMAE = −0,0066, 95% ДИ [−0,0126; +0,0008], p = 0,066 —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незначимо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; остальные два алгоритма дальше (p = 0,28 и 0,52).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Методологическая находка, обнаруженная в ходе этой проверки.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Первая версия признаков включала one-hot поля observed.most_impacted_industry. Механистические бейслайны его тоже читают, но лишь для выбора отчитываемого агрегата, тогда как обучаемая модель может извлечь из него информацию об исходе. С этим признаком бустинг давал MAE 0,0114 и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значимо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обыгрывал наивное среднее (p = 0,015); без него значимость исчезает. Признак удалён, обе версии зафиксированы в артефакте — сам разрыв показывает, насколько легко при N=27 принять утечку за открытие.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Вывод согласуется с §6.4: потолок задаётся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данными, а не выбором модели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Оговорка: 27 событий и 11 признаков — режим, тяжёлый для любого алгоритма, и это не доказательство, что машинное обучение не сработает на большем бенчмарке.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7. Обсуждение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Три результата складываются в один вывод. (1) На оси, по которой отчитываются почти все работы — точечная магнитуда — четыре принципиально разные модели статистически неразличимы, и это не артефакт слабой настройки: паритет переживает пофолдовую рекалибровку и количественно ограничен мощностью. (2) Оси, различающие модели — временные и пространственные: там, где только полная динамическая модель способна конкурировать, её результаты значимы (0,69 и 0,88). (3) Наибольший прирост качества дала не динамика, а данные о структуре сети (recall 0,29 → 0,79 бесплатно по параметрам).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Практический вывод: валидировать модели каскадов нужно по образцу «предсказать паттерн, а не одно число», иначе таблицы лидеров сравнивают шум. Методологический вывод: пре-регистрация гейтов делает отрицательные результаты публикуемыми активами.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8. Ограничения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N=27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Track A и n=5/15/11 для Track B — мощность ограничена; отсутствие значимости не равно эквивалентности (§6.4).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Ось узловой магнитуды пуста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(n=5, ДИ [−1; 1]): месячных индексов выпуска фабрик почти никто не публикует.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Два структурных промаха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(Чи-Чи, кризис 2008–09) описаны, но не решены; три попытки исправлений отвергнуты вневыборочным гейтом.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 учебные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сравнение с опубликованными моделями каскадов [11,12] — следующий шаг.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Полнота графа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v2 не содержит ряда реальных производителей; v3 (405 узлов) пока не откалиброван по магнитудам.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8.2. Третий путь к росту N: чокпойнты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После отказа маршрута «база катастроф × индексы производства» (§8.1) оставался третий, теоретически самый чистый: морские узкие места. Сбой в проливе — supply-side по построению, а число проходов судов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само является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величиной события. Ежедневный ряд IMF PortWatch (77 389 наблюдений, 28 проливов, 2019–2026) получен и включён в репозиторий; детектор ищет недели, где транзит падает более чем на 15% относительно скользящей медианы.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Детектор валидируется на известном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он самостоятельно находит оба чокпойнт-события, уже входящие в бенчмарк: кризис в Красном море 2023–24 (Суэц, пик −48,3%) и засуху Панамского канала (−40,0%).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Но новых пригодных событий не дал: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из 19 эпизодов два — названные, четыре приходятся на ковидный 2020 год, а бо́льшая часть остальных — сезонный зимний спад Ормуза (декабрь на 28% тише августа). Так закрылся и третий маршрут: N остаётся 27, и это результат проверки, а не недоработка.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Опровергнутая цифра.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 рабочий лог ранее было записано событие «учения в Тайваньском проливе, август 2022» с падением транзита 22% со ссылкой на IMF PortWatch. По первичному ряду худшая неделя даёт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−5,6%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против базы апреля–июня (1593 против 1687 проходов в неделю). Заявленных 22% в данных нет, эпизод не проходит даже 15-процентный порог детектора. Запись исправлена и сохранена как задокументированное ложное срабатывание.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Крупнейшее нарушение за весь период — и почему его нельзя включить.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Закрытие Ормузского пролива в 2026: недельный транзит обрушивается с 561 до 25 судов на неделе 8 марта и держится в диапазоне 14–107 до июня — пик дефицита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95,5%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, глубже Ever Given (0,96, но несколько дней) и много продолжительнее Красного моря (0,48). Совпадает с объявлением о закрытии 2 марта 2026 и сообщением IMO от 21 апреля о ~2000 запертых судов. Альтернатива проверена: PortWatch пересматривал границы Ормуза в марте 2026, но изменение определения дало бы ступеньку на новый устойчивый уровень, а ряд показывает обвал за неделю с рваным восстановлением.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Событие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измерено, но не включено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, и причина методологически показательна: оно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ещё продолжается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на момент среза данных. Отраслевых потерь за 2026 год не опубликовало ни одно агентство — наблюдаемой цели физически не существует, а длительность восстановления у незакончившегося события не определена. Самое сильное событие в наборе нельзя использовать именно потому, что оно слишком свежее.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9. Воспроизводимость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Конфигурация движка запинена (сиды фиксированы, стохастика выключена); результаты заморожены golden-тестами, любое численное изменение — явный диф в том же коммите. Статистический слой детерминирован (сид 20260718). Головной документ чисел и все фигуры генерируются скриптами из артефактов; каждая фигура сопровождается численной таблицей. 147 автотестов, все зелёные. Точные команды — Приложение B.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10. Заключение и дальнейшая работа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Построенный бенчмарк и трёхосевая валидация дают способ отличать модели каскадов друг от друга статистически честно. Дальше: рост N через чокпойнт-события (транзитные данные IMF PortWatch обходят проблему разбавления); калибровка магнитуд на 405-узловом ICIO-графе; спросовый механизм для событий типа 2008–09; публикация бенчмарка как открытого стандарта.</w:t>
      </w:r>
    </w:p>
    <w:p>
      <w:pPr>
        <w:spacing w:after="40" w:before="100"/>
      </w:pPr>
      <w:r>
        <w:rPr>
          <w:rFonts w:ascii="Palatino Linotype" w:cs="Palatino Linotype" w:eastAsia="Palatino Linotype" w:hAnsi="Palatino Linotype"/>
          <w:b/>
          <w:bCs/>
          <w:color w:val="1A1A1A"/>
          <w:sz w:val="18"/>
          <w:szCs w:val="18"/>
        </w:rPr>
        <w:t xml:space="preserve">Служебная информация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Доступность данных и кода.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Все данные, код движка, валидационные скрипты и артефакты открыты в репозитории проекта; каждая калибровочная цель снабжена первичным источником. Числа воспроизводятся командами Приложения B.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Вклад авторов.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[Заполнить по CRediT: концепция, методология, ПО, валидация, формальный анализ, подготовка текста, визуализация.]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Финансирование.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[Работа не имела внешнего финансирования / указать грант.]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Одобрение этического комитета.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Неприменимо (исследование не включает людей или животных; используются только агрегированные экономические данные из открытых источников).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Конфликт интересов.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Автор(ы) заявляет(ют) об отсутствии конфликта интересов.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Литература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1. Acemoglu, D.; Carvalho, V.M.; Ozdaglar, A.; Tahbaz-Salehi, A. The Network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80, 1977–2016. doi:10.3982/ECTA9623.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2. Acemoglu, D.; Ozdaglar, A.; Tahbaz-Salehi, A. Microeconomic Origins of Macroeconomic Tail Risks.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107, 54–108. doi:10.1257/aer.20151086.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3. Baqaee, D.R. Cascading Failures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Working Paper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4. Bigio, S.; La'O, J. Distortions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135, 2187–2253. doi:10.1093/qjecon/qjaa002.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5. Carvalho, V.M.; Nirei, M.; Saito, Y.U.; Tahbaz-Salehi, A. Supply Chain Disruptions: Evidence from the Great East Japan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136, 1255–1321. doi:10.1093/qje/qjaa044.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6. Barrot, J.-N.; Sauvagnat, J. Input Specificity and the Propagation of Idiosyncratic Shocks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2016, 131, 1543–1592. doi:10.1093/qje/qjw018.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7. Boehm, C.E.; Flaaen, A.; Pandalai-Nayar, N. Input Linkages and the Transmission of Shocks: Firm-Level Evidence from the 2011 Tōhoku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Economics and Statistics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101, 60–75. doi:10.1162/rest_a_00750.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8. Gabaix, X. The Granular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79, 733–772. doi:10.3982/ECTA8769.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9. di Giovanni, J.; Levchenko, A.A. Country Size, International Trade, and Aggregate Fluctuations in Granular Economies.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120, 1083–1132. doi:10.1086/669161.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10. Oberfield, E.; et al. Aggregate Fluctuations in Adaptive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2022, 119, e2203730119. doi:10.1073/pnas.2203730119.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11. Inoue, H.; Todo, Y. Firm-Level Propagation of Shocks Through Supply-Chain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 Sustainability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2, 841–847. doi:10.1038/s41893-019-0357-z.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12. Otto, C.; Willner, S.N.; Wenz, L.; Frieler, K.; Levermann, A. Modeling Loss-Propagation in the Global Supply Network: The Dynamic Agent-Based Model Acclimate.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83, 232–269. doi:10.1016/j.jedc.2017.08.001.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13. Allen, F.; Gale, D. Financial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2000, 108, 1–33. doi:10.1086/262109.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14. Gai, P.; Kapadia, S. Contagion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Proceedings of the Royal Society 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2010, 466, 2401–2423. doi:10.1098/rspa.2009.0410.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15. Battiston, S.; Delli Gatti, D.; Gallegati, M.; Greenwald, B.; Stiglitz, J.E. Liaisons Dangereuses: Increasing Connectivity, Risk Sharing, and Systemic Risk.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36, 1121–1141. doi:10.1016/j.jedc.2012.04.001.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16. Elliott, M.; Golub, B.; Jackson, M.O. Financial Networks and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2014, 104, 3115–3153. doi:10.1257/aer.104.10.3115.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17. Haldane, A.G.; May, R.M. Systemic Risk in Banking Ecosystems.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469, 351–355. doi:10.1038/nature09659.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18. Eichenbaum, M.S.; Rebelo, S.; Trabandt, M. The Macroeconomics of Epidemics.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Financial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34, 5149–5187. doi:10.1093/rfs/hhab040.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19. Coquidé, C.; Lages, J.; Shepelyansky, D.L. Crisis Contagion in the World Trade Network.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Applied Network Science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5, 67. doi:10.1007/s41109-020-00304-z.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20. Acemoglu, D.; Ozdaglar, A.; Tahbaz-Salehi, A. Systemic Risk and Stability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2015, 105, 564–608. doi:10.1257/aer.20130456.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21. Starnini, M.; Boguñá, M.; Serrano, M.Á. Shock Propagation on Global Trade-Investment Multiplex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Scientific Reports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9, 13079. doi:10.1038/s41598-019-49173-2.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22. Hidalgo, C.A.; Hausmann, R. The Building Blocks of Economic Complexity.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2009, 106, 10570–10575. doi:10.1073/pnas.0900943106.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23. Caliendo, L.; Parro, F.; Rossi-Hansberg, E.; Sarte, P.-D. The Impact of Regional and Sectoral Productivity Changes on the U.S. Economy.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2018, 85, 2042–2096. doi:10.1093/restud/rdx082.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24. Eaton, J.; Kortum, S. Technology, Geography, and Trade.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2002, 70, 1741–1779. doi:10.1111/1468-0262.00352.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25. OECD. Inter-Country Input-Output (ICIO) Tables, 2025 Edition (Year 2019); OECD: Paris, 2025.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26. International Monetary Fund. PortWatch: Daily Chokepoint Transit Data; IMF: Washington, DC, 2021–2024.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27. OICA; JAMA; VDA; SIA. Industry Motor-Vehicle and Semiconductor Production Statistics, 1999–2023.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A. Полный бенчмарк событий (N=27)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Сгенерировано из seed_data.py; первичные источники по каждому событию — построчно в historical_events.csv. «Магн.» — магнитуда шока на стороне источника (вход модели), «Цель» — наблюдаемая потеря (выход для валидации).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3778"/>
        <w:gridCol w:w="2600"/>
        <w:gridCol w:w="900"/>
        <w:gridCol w:w="900"/>
        <w:gridCol w:w="900"/>
      </w:tblGrid>
      <w:tr>
        <w:trPr>
          <w:tblHeader/>
        </w:trPr>
        <w:tc>
          <w:tcPr>
            <w:tcW w:type="dxa" w:w="56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77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Событие</w:t>
            </w:r>
          </w:p>
        </w:tc>
        <w:tc>
          <w:tcPr>
            <w:tcW w:type="dxa" w:w="2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Узел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Магн.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Длит.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Цель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covid-semiconductor-2020-2021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suez-canal-2021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auto-chip-shortage-2021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japan-triple-disaster-2011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0,039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us-china-tariffs-2019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texas-winter-storm-2021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eu-energy-crisis-2021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malaysia-semiconductor-2021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MYS:semiconductors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thailand-floods-2011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kumamoto-earthquake-2016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renesas-naka-fire-2021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japan-korea-export-controls-2019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vietnam-covid-lockdown-2021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VNM:electronics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shanghai-lockdown-2022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ukraine-war-harness-2022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china-power-crunch-2021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yantian-port-closure-2021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red-sea-crisis-2023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taiwan-drought-2021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india-covid-wave-2021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0,004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taiwan-chichi-earthquake-1999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hurricane-harvey-2017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USA:consumer_goods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us-west-coast-ports-2015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korea-trucker-strikes-2022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panama-canal-drought-2023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CP:Panama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gfc-auto-collapse-2008-2009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0,130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B. Воспроизводимость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Все числа статьи регенерируются из репозитория:</w:t>
      </w:r>
    </w:p>
    <w:tbl>
      <w:tblPr>
        <w:tblW w:type="dxa" w:w="9638"/>
        <w:tblBorders>
          <w:top w:val="single" w:color="D7E2DB" w:sz="3"/>
          <w:left w:val="single" w:color="D7E2DB" w:sz="3"/>
          <w:bottom w:val="single" w:color="D7E2DB" w:sz="3"/>
          <w:right w:val="single" w:color="D7E2DB" w:sz="3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2F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backend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scripts.significance_analysis   # significance.json (6.1, 6.2)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scripts.power_analysis          # power_analysis.json (6.4)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scripts.isef_figures            # 4 фигуры + CSV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scripts.results_onepager        # docs/RESULTS.md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app.core.ablation import run_ablation_study,save_ablation;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save_ablation(run_ablation_study())'   # абляция (6.6)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app.core.sensitivity import run_sobol,save_sobol;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save_sobol(run_sobol())'   # Соболь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scripts.identifiability_audit       # аудит идентифицируемости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scripts.spatial_recall_robustness   # прогон по порогу (6.5)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scripts.clustering_icc --graph v3   # ICC узловых остатков (8.3)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pytest                              # 147 тестов, все зелёные</w:t>
            </w:r>
          </w:p>
        </w:tc>
      </w:tr>
    </w:tbl>
    <w:sectPr>
      <w:type w:val="continuous"/>
      <w:pgSz w:w="11906" w:h="16838" w:orient="portrait"/>
      <w:pgMar w:top="1134" w:right="1134" w:bottom="1134" w:left="1134" w:header="708" w:footer="708" w:gutter="0"/>
      <w:pgNumType/>
      <w:cols w:space="454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1A1A1A"/>
        <w:sz w:val="19"/>
        <w:szCs w:val="19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523aa1ade757e495c443f46889ee0a5b946639.png"/><Relationship Id="rId8" Type="http://schemas.openxmlformats.org/officeDocument/2006/relationships/image" Target="media/171df3e3575383b655b04a9426bb257c8bc24438.png"/><Relationship Id="rId9" Type="http://schemas.openxmlformats.org/officeDocument/2006/relationships/image" Target="media/d823a4fac61c80987e17c1332d8dc51dd27bbfc4.png"/><Relationship Id="rId10" Type="http://schemas.openxmlformats.org/officeDocument/2006/relationships/image" Target="media/b46fe7d0f644b4f60d88d0ddc3fd2f9a0a85fa0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GEDS — трёхосевая валидация (препринт)</dc:title>
  <dc:creator>GEDS</dc:creator>
  <cp:lastModifiedBy>Un-named</cp:lastModifiedBy>
  <cp:revision>1</cp:revision>
  <dcterms:created xsi:type="dcterms:W3CDTF">2026-08-07T14:23:41.007Z</dcterms:created>
  <dcterms:modified xsi:type="dcterms:W3CDTF">2026-08-07T14:23:41.017Z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