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Анализ мощности показывает, что при N=27 минимальный детектируемый эффект (0,018 MAE) превышает реальные различия моделей (~0,007) — то есть паритет ограничен разрешением выборки, а не доказан. Траекторная валидация различает модели: GEDS, единственная модель, порождающая полные траектории, ранжирует длительности восстановления со Spearman 0,88 (95% ДИ 0,56–0,99) и тайминг пика с 0,69 (0,20–0,87). Замена ручного 12-странового графа на граф OECD ICIO из 405 узлов поднимает пространственный охват каскада с 0,29 до 0,79 без подстройки параметров. Все результаты детерминированы, зафиксированы golden-тестами и воспроизводятся из открытого репозитория.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анализ мощности;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Все 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бутстрэп, парный бутстрэп с общими индексами, знаковые перестановочные тесты и анализ мощности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вневыборочно, и это ограничение мощности, а не эквивалентность)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Работа лежит на пересечении четырёх линий литературы; полные ссылки — в разделе «Литература».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Распространение шоков по производственным сетям.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Теоретический фундамент заложили Acemoglu et al. [1], показавшие сетевые истоки агрегатных флуктуаций, и продолжения о микро-истоках и распределениях (Acemoglu et al. [2]; Baqaee [3]; Bigio &amp; La'O [4]). Эмпирику закрыли Carvalho et al. [5], проследившие каскад землетрясения Тохоку по реальным цепочкам поставщиков, Barrot &amp; Sauvagnat [6] через специфичность вводимых ресурсов и Boehm et al. [7]. Гранулярность как источник агрегатных колебаний — Gabaix [8], di Giovanni &amp; Levchenko [9], Oberfield et al. [10]. Наша работа не добавляет теории — она использует эту структуру как субстрат и спрашивает, насколько хорошо динамические модели на ней предсказывают реальные каскады.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Имитационные и агентные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построили фирменно-уровневую агентную модель распространения по цепочкам поставок; Otto et al. [12] (Acclimate) моделируют климатические шоки на международной торговле. Эти работы валидируются на одном классе событий; наш вклад ортогонален — система сравнительной валидации, в которой такие модели ставятся рядом на общем бенчмарке.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Финансовое заражение.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Механика распространения по сетям изучена в финансах: Allen &amp; Gale [13], Gai &amp; Kapadia [14], Battiston et al. [15], Elliott et al. [16], Haldane &amp; May [17], Acemoglu et al. [20]. Мы заимствуем идею порогового каскада (узел переходит в «дистресс» при превышении эндогенного порога), но применяем к производственному выпуску.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Эпидемиологические динамики и валидация прогнозов.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Перенос SEIR-схем на экономику активизировался после COVID (Eichenbaum et al. [18]; Coquidé et al. [19]; Starnini et al. [21]). Методология сравнительной валидации — M-соревнования и бенчмарки временных графов — систематически обнаруживала, что простые методы неотличимы от сложных; наш результат воспроизводит этот паттерн в новой области.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Ниша.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Насколько нам известно, ни одна опубликованная работа не совмещает SEIRS-динамику, эффект хлыста и гистерезис в одном движке и, что важнее, не валидирует модель каскадов одновременно по магнитуде, форме траектории и пространственному охвату на десятках разнотипных событий с полным статистическим слоем. Пробел — не «ещё одна модель», а «как честно сравнивать такие модели».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Полный список — Приложение A. Категории: землетрясения, наводнения, пожары, локдауны, энергокризисы, портовые заторы, блокировки чокпойнтов, торговые ограничения, забастовки, финансовый кризис.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(письменный): уровень 1 — отраслевые статагентства (OICA, JAMA, VDA, SIA) и официальные макроданные (центробанки, МВФ, IMF PortWatch [26]); уровень 2 — отчётность компаний; уровень 3 (Reuters/Bloomberg/Nikkei) — только при прямой цитате уровня 1/2. Правила: пик отличается от остаточного значения; производные числа помечаются [DERIVED]; узел назначается по месту производства.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 без чистого первичного числа (пожар Philips 2000) или со структурной неполнотой графа (Boeing 737 MAX) документируются как невключённые с указанием причины. База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 и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собраны: пиковая потеря выпуска шокированного сектора в стране-источнике (только измеримые цели, статус «null» с причиной, где источника нет); недели до пика и до восстановления 90%; 62 строки «событие → поражённый узел → неделя начала» с первичной ссылкой. Граф v2: 41 узел (12 стран × 6 отраслей + 5 чокпойнтов), веса перепроверены против OECD ICIO [25] (Spearman 0,79–0,84). Граф v3: 405 узлов (81 экономика × 5 секторов) непосредственно из таблиц ICIO 2019.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дефицит) → Infected (потеря выпуска с нелинейным усилением) → Recovered (гистерезис).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(ноль подгоняемых параметров): межотраслевая модель Леонтьева, линейная сетевая диффузия, наивный предиктор среднего. Конфигурация детерминирована (stochastic_sigma = 0, seed = 0) и запинена golden-тестом.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Формальная спецификация движка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Пусть s_i(t) ∈ [0, 1] — уровень шока узла i на неделе t; D_eff — матрица эффективных зависимостей. Обновление за шаг (векторизовано по узлам). Входящее давление с эффектом хлыста, где β_i = bullwhip-фактор (1,25 в состоянии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Импульс воздействия (δ — propagation_decay, V — уязвимость, A — нелинейное усиление, ρ — устойчивость, множитель (1−s) даёт насыщение):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Недельная скорость восстановления, привязанная к узловой задержке delay_i (8 недель — опорная):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0,5)), 0, 0,95 )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Переход состояния, где x_i — внешнее форсирование события (форма step/linear/exp/ramp), r_i = γ_i·s_i для незафорсированных узлов, ε — шум (в бенчмарке ε ≡ 0):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Наблюдаемая потеря выпуска узла (η — эластичность, f_i — пол гистерезиса R-состояния, ≥ 0,30 пока узел восстанавливается):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Скалярный индекс тяжести каскада (c_i — центральность узла, d_i — входная экспозиция):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Состояния SEIRS.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Узел из S переходит в E при пересечении входящим давлением триггера (буфер запасов глубиной inventory_scale поглощает дефицит), из E — в I, из I — в R при спаде шока; в R держится delay_i недель с полом выпуска f_i, затем возвращается в S — это и есть гистерезис.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Пять калибруемых параметров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остальные величины структурны либо фиксированы. Бейслайны формально: Леонтьев решает (I−A)^{-1}-подобное равновесие потерь; линейная диффузия итерирует s(t+1)=s(t)+δ·(W·s(t)) без насыщения и восстановления; наивный предиктор возвращает среднее выборки.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пары (A, B) с поэлементными ошибками e_A, e_B: статистика T = |mean(|e_A|−|e_B|)|; под H0 знак каждой разности переворачивается независимо (20 000 перестановок); двусторонний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Анализ мощности / минимальный детектируемый эффект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для парных разностей d_i минимальная средняя разность MAE, детектируемая при мощности 80% и α=0,05, и требуемое N для наблюдаемой разности: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( 2,80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кросс-валидация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— Таблица 1. Точечные оценки создают видимость иерархии, но ни одна из шести парных разностей MAE не значима (Рисунок 1): GEDS−Леонтьев ΔMAE +0,0074 [−0,0031; +0,0218], p=0,42; Леонтьев−наивное −0,0040 [−0,0083; +0,0005], p=0,09; остальные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Значимы только ранговые сигналы: линейная диффузия (0,72 [0,40; 0,91]) и GEDS (0,45 [0,06; 0,73]).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Предсказанное против наблюдаемого по каждой модели, N=27; пунктир — идеальное совпадение.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восстановления (0,88) — сильнейший результат; ДИ обеих временных осей не содержат ноль. Ось магнитуды при n=5 статистически пуста и заявляется только как ограничение.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0,60 [−1,00;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0,43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0,88 [0,56; 0,99]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8,5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Робастность к отдельным точкам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Тест leave-one-out (последовательно удаляем каждое событие и пересчитываем Spearman) опровергает подозрение, что корреляция держится на одной точке: для недель-до-пика полная оценка 0,691, диапазон LOO [0,619; 0,790]; для восстановления полная 0,883, диапазон LOO [0,843; 0,917]. Ни одно единичное событие не роняет корреляцию ниже 0,62 и 0,84 соответственно.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причину: все три реализованные формы шока (step, linear, exp) имеют максимум в момент начала, а храповик обновления состояния рендерит убывающее форсирование как прямоугольный импульс — 12 из 15 предсказанных пиков приходились на неделю 0. У движка отсутствовала форма «медленно нарастающий шок», которой требуют засухи,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форма ramp (линейное нарастание),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Недели до пика: предсказанное против наблюдаемого до (полые) и после (закрашенные) принятия формы ramp;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 и анализ мощности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DE-рекалибровкой: MAE 0,0192, RMSE 0,0422, Pearson 0,25, Spearman 0,56, R² −0,70. Парно против Леонтьева: ΔMAE +0,0024 [−0,0073; +0,0167], p=0,89 — паритет держится и вневыборочно. Два систематических промаха фиксируются честно: Чи-Чи 1999 (0,19 против 0,005 — источниковый узел не залечивается за горизонт) и кризис 2008–09 (0,051 против 0,130 — спросовый коллапс структурно не похож на каскады предложения).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Паритет — это ограничение мощности, а не доказанная эквивалентность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(Таблица 3). При N=27 минимальный детектируемый эффект для GEDS/Леонтьев равен 0,0184, тогда как наблюдаемые разности ~0,004–0,007 лежат ниже разрешения. Чтобы различить наблюдаемую разность, требуется ≈166 событий. Это превращает нулевой результат в ограниченное сверху утверждение и задаёт метрику для набора данных.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Анализ мощности: минимальный детектируемый эффект при N=27 и требуемое N для наблюдаемой разности.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набл.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при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для детекции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Леонтьев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лин. диффузия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vs наивное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(Таблица 4). Плотный граф закрывает дыры, которые ручной не мог выразить (каскад пожара Renesas в иностранный автопром: 0/4 → 3/4). Порядок поражения ранжируется хорошо (Spearman 0,79). Ни один параметр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по событиям: доля исторически поражённых узлов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Абляция компонентов: что из сложной модели реально работает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Покомпонентная абляция (N=27, каждый компонент по очереди отключается — Таблица 5) даёт неудобный, но честный ответ на вопрос, какие части несут вес. Два компонента — SEIS-машина состояний и адаптивная перемаршрутизация — дают ровно ноль на этом наборе; единственный компонент, ухудшающий модель при отключении, — эффект хлыста (+0,0023). Пол R-состояния улучшает внутривыборочную ошибку при удалении (−0,0074), но это удаление уже провалило пре-регистрированный вневыборочный гейт (§5.3) и отвергнуто. Вывод: при N=27 сложность движка в основном не окупается на оси магнитуды — согласуется с §6.1 и указывает на рост N и траекторные оси, а не на добавление механизмов.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Покомпонентная абляция движка (N=27): вклад каждого компонента в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к полной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Полный движок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(без машины состояний)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−адаптивная перемаршрутизация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−пол R-состояния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+поузловое восстановление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чистая 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Чувствительность и идентифицируемость параметров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Глобальный анализ чувствительности Соболя (variance-based, 1536 прогонов движка, выход — mean_industry_loss_MAE, N=27 — Таблица 6) отвечает, идентифицируемы ли пять параметров. Дисперсию выхода несут два параметра — recovery_rate (ST 0,62) и inventory_scale (ST 0,59), причём их низкие индексы первого порядка (S1 0,39 и 0,42) против высоких полных эффектов указывают на сильное взаимодействие между ними (сумма ST ≈ 1,30 ≫ 1); два параметра пренебрежимы и могут быть зафиксированы, ещё один минорный. То есть три из пяти параметров практически неидентифицируемы по отдельности, а подгоночная свобода сосредоточена в связанной паре (recovery_rate, inventory_scale). Это независимо подтверждает §6.6 (модель переусложнена относительно того, что данные при N=27 способны ограничить) и объясняет, почему пофолдовая рекалибровка §6.4 так легко «маскирует» структурные правки. (MCMC при 350 шагах не сошёлся, r̂=2,03; байесовские интервалы — предмет отдельной прогонки, отнесённой к дальнейшей работе.)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Индексы чувствительности Соболя (N=27): полный эффект ST и первого порядка S1 для пяти параметров.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Читается как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минорный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6.8. Структура против подгонки: плотный граф с одним параметром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Раздел 6.5 показал, что ICIO-граф достаёт до гораздо большей части наблюдаемого каскада, но его магнитуды никогда не оценивались: параметры v3 — неоткалиброванные структурные априори, и предсказания идут примерно вчетверо выше наблюдаемых. Перед нами ошибка формы или масштаба?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Ответ — масштаба. На дефолтных параметрах сырой v3 ранжирует события заметно лучше полностью откалиброванного v2 (Spearman 0,80 против 0,44) при систематическом завышении (среднее предсказание 0,090 против наблюдаемого 0,023). Мы добавили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единственную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свободную величину — глобальный масштабный коэффициент, подобранный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(leave-one-out: k оценивается на остальных N−1 событиях и применяется к удерживаемому). Чокпойнт-события в v3 не представлены, поэтому все модели сравниваются на одних и тех же 24 событиях (Таблица 7). Средний LOO-коэффициент k ≈ 0,26 устойчив по фолдам.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Плотный ICIO-граф с одним вневыборочным масштабным коэффициентом против калиброванного v2 и безпараметрических бейслайнов (одинаковые 24 события).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1900"/>
        <w:gridCol w:w="1950"/>
        <w:gridCol w:w="195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1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Свободных пар-ров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+ LOO-масштаб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+0,331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+0,707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0,0227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v2 (откалиброван)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сырой (без масштаба)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0,0677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+0,802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Это первая конфигурация, лидирующая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всем метрикам одновременно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причём достигнутая одним параметром вместо пяти.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Чего мы при этом НЕ утверждаем: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ни одно преимущество не значимо — против Leontief ΔMAE −0,0049 (p = 0,34), против линейной диффузии −0,0052 (p = 0,50), против наивного среднего −0,0094 (p = 0,06), против v2 −0,0132 (p = 0,17). Вывод §6.1 о паритете не опровергнут, а подтверждён ещё раз, уже на лучшей доступной конфигурации: даже она не отделяется от бейслайнов при таком N — ровно как предсказывает анализ мощности §6.4.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Содержательный смысл в другом. Замена ручного графа на измеренную структуру input-output даёт по магнитуде больше, чем калибровка пяти параметров динамики на ручном графе (0,0133 против 0,0266) — это магнитудный аналог пространственного результата §6.5. Оба указывают в одну сторону: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информация, которую несёт полнота и точность сети, не заменяется подгонкой параметров.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6.9. Полная калибровка v3: пять параметров значимо ХУЖЕ одного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Пятипараметрическая LOO-калибровка на плотном графе (24 фолда, пофолдовая дифференциальная эволюция) проведена и даёт неожиданный результат — Таблица 7. Парное сравнение одного параметра против пяти: ΔMAE = −0,0148, 95% ДИ [−0,0292; −0,0031], p = 0,037 —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Это единственное статистически значимое различие моделей во всей работе, и оно про экономию параметров: на графе из 405 узлов при ~23 обучающих событиях на фолд четыре дополнительные степени свободы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измеримо ухудшают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обобщение. Результат сходится с §6.6 (два компонента дают нулевой вклад) и §6.7 (три из пяти параметров неидентифицируемы) — три независимых метода приходят к одному выводу о переусложнении.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Полное вневыборочное сравнение на плотном графе v3 (24 фолда, leave-one-out).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600"/>
        <w:gridCol w:w="1800"/>
        <w:gridCol w:w="20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Конфигурация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Парам.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один масштаб (LOO)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пять параметров (LOO-DE)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+0,565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 + пять параметров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/ диффузия / наивное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 / 0,0185 / 0,0227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6.10. Плотный граф закрывает обе структурные «стены»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Два систематических промаха, объявленных в §6.4 нерешёнными и не поддавшихся трём пре-регистрированным механизменным экспериментам, на плотном графе почти исчезают (вневыборочно, LOO-DE): землетрясение Чи-Чи 1999 — абсолютная ошибка 0,188 → 0,014 (13,6×), финансовый кризис 2008–09 — 0,079 → 0,028 (2,9×). Это меняет диагноз обоих провалов. Чи-Чи не залечивался, а кризис 2008–09 недооценивался не потому, что движку не хватало механизма, — а потому, что ручной граф из 41 узла не мог выразить пути, по которым эти шоки распространялись в реальности. Три попытки чинить динамику (§5.3) провалились именно поэтому: они лечили не ту причину.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Обе «стены» оказались проблемой покрытия сети, а не проблемой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сильнейшее подтверждение центрального тезиса работы.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Честные оговорки к §6.9–6.10: набор здесь — 24 события (у чокпойнтов нет узла в v3), поэтому эти числа не сопоставимы напрямую с заголовочными N=27; и класс модели (коррекция масштаба) был выбран уже после того, как поведение v3 стало известно — сам масштаб подбирается вневыборочно, но выбор именно этой формы коррекции не был пре-регистрирован. Преимущество над безпараметрическими бейслайнами остаётся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незначимым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(p = 0,06–0,50), то есть заголовочный вывод §6.1 о паритете сохраняется.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6.11. Справилось бы машинное обучение?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Естественное возражение к §6.1: возможно, дело не в объёме данных, а в том, что все четыре модели механистические. Проверено напрямую — три обучаемые модели на 11 признаках события, известных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исхода (магнитуда, длительность, горизонт, число шоков, форма форсирования, признак чокпойнта, доля узла в мировом ВВП, центральность, исходящая степень, произведение магнитуды на длительность). Оценка leave-one-out: каждое событие предсказывается моделью, которая его не видела (Таблица 8).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8.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Обучаемые модели против механистических: leave-one-out, 11 признаков, известных до исхода.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2000"/>
        <w:gridCol w:w="1800"/>
        <w:gridCol w:w="16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Тип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Градиентный бустинг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+0,666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Случайный лес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0,0167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+0,504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+0,340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Гребневая регрессия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+0,611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+0,718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тривиальная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+0,451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Градиентный бустинг даёт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лучшую MAE среди всех моделей работы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но против наивного среднего ΔMAE = −0,0066, 95% ДИ [−0,0126; +0,0008], p = 0,066 —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; остальные два алгоритма дальше (p = 0,28 и 0,52).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Методологическая находка, обнаруженная в ходе этой проверки.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Первая версия признаков включала one-hot поля observed.most_impacted_industry. Механистические бейслайны его тоже читают, но лишь для выбора отчитываемого агрегата, тогда как обучаемая модель может извлечь из него информацию об исходе. С этим признаком бустинг давал MAE 0,0114 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обыгрывал наивное среднее (p = 0,015); без него значимость исчезает. Признак удалён, обе версии зафиксированы в артефакте — сам разрыв показывает, насколько легко при N=27 принять утечку за открытие.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Вывод согласуется с §6.4: потолок задаётся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данными, а не выбором модели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Оговорка: 27 событий и 11 признаков — режим, тяжёлый для любого алгоритма, и это не доказательство, что машинное обучение не сработает на большем бенчмарке.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 и количественно ограничен мощностью. (2) Оси, различающие модели — временные и пространственные: там, где только полная динамическая модель способна конкурировать, её результаты значимы (0,69 и 0,88). (3) Наибольший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вывод: валидировать модели каскадов нужно по образцу «предсказать паттерн, а не одно число», иначе таблицы лидеров сравнивают шум. Методологический вывод: пре-регистрация гейтов делает отрицательные результаты публикуемыми активами.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Track B — мощность ограничена; отсутствие значимости не равно эквивалентности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 учебные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сравнение с опубликованными моделями каскадов [11,12] — следующий шаг.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производителей; v3 (405 узлов) пока не откалиброван по магнитудам.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фигуры генерируются скриптами из артефактов; каждая фигура сопровождается численной таблицей. 157 автотестов. Точные команды — Приложение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разбавления); калибровка магнитуд на 405-узловом ICIO-графе; спросовый механизм для событий типа 2008–09; публикация бенчмарка как открытого стандарта.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Служебная информация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Доступность данных и кода.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Все данные, код движка, валидационные скрипты и артефакты открыты в репозитории проекта; каждая калибровочная цель снабжена первичным источником. Числа воспроизводятся командами Приложения B.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Вклад авторов.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[Заполнить по CRediT: концепция, методология, ПО, валидация, формальный анализ, подготовка текста, визуализация.]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Финансирование.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[Работа не имела внешнего финансирования / указать грант.]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Одобрение этического комитета.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Неприменимо (исследование не включает людей или животных; используются только агрегированные экономические данные из открытых источников).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Конфликт интересов.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Автор(ы) заявляет(ют) об отсутствии конфликта интересов.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A. Полный бенчмарк событий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Сгенерировано из seed_data.py; первичные источники по каждому событию — построчно в historical_events.csv. «Магн.» — магнитуда шока на стороне источника (вход модели), «Цель» — наблюдаемая потеря (выход для валидации).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Узел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Магн.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Длит.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B. Воспроизводимость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Все числа статьи регенерируются из репозитория: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фигуры + CSV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абляция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Соболь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тестов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2026-08-03T19:13:13.868Z</dcterms:created>
  <dcterms:modified xsi:type="dcterms:W3CDTF">2026-08-03T19:13:13.879Z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