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Article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Can a Single Number Tell a Good Cascade Model from a Naive One? A Three-Axis Validation of a Global Supply-Chain Disruption Simulator on 27 Primary-Sourced Historical Events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Correspondence: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Abstract: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Global supply-chain disruptions — earthquakes, floods, canal blockages, financial crises — cascade across industries and countries, yet published simulation models are typically validated on one or two events and a single error metric. This work asks whether such validation can distinguish a substantive model from a naive baseline at all, and builds the infrastructure to answer it. We assemble a benchmark of 27 historical events (1999–2023, ten categories), each calibrated from primary sources under a written source-tier protocol, and a three-axis validation system scoring (1) global loss magnitude, (2) node-level cascade shape (peak, timing, recovery), and (3) spatial reach. Four models are tested: a novel SEIRS-bullwhip-hysteresis simulator (GEDS), a Leontief input–output model, linear network diffusion, and a naive mean predictor. On point magnitude no model significantly outperforms any other (all six pairwise permutation tests p ≥ 0.09 at N=27), and the result survives leave-one-out per-fold recalibration (p = 0.89): single-number validation cannot separate these models. A power analysis shows that at N=27 the minimum detectable effect (0.018 MAE) exceeds the real inter-model differences (~0.007), so the parity is resolution-limited rather than proven. Trajectory validation does separate the models: GEDS, the only model producing full trajectories, ranks recovery durations at Spearman 0.88 (95% CI 0.56–0.99) and peak timing at 0.69 (0.20–0.87). Replacing the hand-built 12-country graph with the 405-node OECD ICIO graph raises spatial reach from 0.29 to 0.79 with no parameter tuning. All results are deterministic, locked by golden tests, and reproducible from an open repository.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Keywords: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supply chains; shock propagation; model validation; SEIRS; bootstrap; permutation test; power analysis; OECD ICIO; cascade benchmark</w:t>
      </w:r>
    </w:p>
    <w:tbl>
      <w:tblPr>
        <w:tblW w:type="dxa" w:w="9638"/>
        <w:tblBorders>
          <w:top w:val="none" w:color="FFFFFF" w:sz="0"/>
          <w:left w:val="single" w:color="0E7C3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Mar>
              <w:top w:type="dxa" w:w="60"/>
              <w:left w:type="dxa" w:w="160"/>
              <w:bottom w:type="dxa" w:w="60"/>
              <w:right w:type="dxa" w:w="60"/>
            </w:tcMar>
          </w:tcPr>
          <w:p>
            <w:pPr>
              <w:spacing w:after="4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0E7C3A"/>
                <w:sz w:val="17"/>
                <w:szCs w:val="17"/>
              </w:rPr>
              <w:t xml:space="preserve">Highlights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Single-number validation cannot rank four supply-chain cascade models at N=27 (all pairwise p ≥ 0.09).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The null is quantified, not assumed: minimum detectable effect 0.018 MAE vs. real gaps ~0.007; ~166 events needed to resolve.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Trajectory validation separates the models: recovery-duration ranking Spearman 0.88 (95% CI 0.56–0.99).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Grounding the graph in OECD ICIO data lifts spatial reach 0.29 → 0.79 with zero parameter tuning.</w:t>
            </w:r>
          </w:p>
        </w:tc>
      </w:tr>
    </w:tbl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Type: working preprint (ISEF project).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Received / Accepted / Published: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Copyright: © 2026 the author(s).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All numbers are generated from repository artifacts and reproducible under fixed seeds.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Introduction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Motivation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2021 blockage of the Suez Canal by the container ship Ever Given halted roughly 12% of world trade for six days; the 2011 Thai floods cut national vehicle output by 87.5% at their monthly peak; the 2020–2021 chip shortage cost the global auto industry 9.5 million unbuilt vehicles. Policymakers and firms need models that predict how a local shock will propagate across the global production network. The literature offers dozens of such models — yet almost every one is validated on one or two events, most often against a single scalar.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This work began as building yet another model. It ended with a different conclusion: the standard way of validating such models cannot tell a complex model from a naive one, and so a validation instrument that can was built instead.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Research question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Can single-number validation (peak loss magnitude) distinguish a substantive shock-propagation model from trivial baselines — and if not, which validation axes do separate the models?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Contributions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Benchmark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historical disruption events (1999–2023) with calibration targets from primary sources under a written source-tier protocol, plus a library of 17+ documented near-misses as a negative control.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Three-axis validation system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global magnitude (Track A), shocked-node trajectory shape (Track B), spatial reach and onset order.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Statistical layer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event-level bootstrap, paired bootstrap with shared indices, sign-flip permutation tests, and a power analysis — every “better/worse” comes with a confidence interval and a p-value.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An honest headline result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magnitude parity of all four models at N=27 (in- and out-of-sample, and this is a power limit, not equivalence) and significant separation on the trajectory axes, where only GEDS competes.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 mechanistic finding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peak timing was at chance because the engine lacked a rising forcing shape; the defect was localized and the fix adopted through a pre-registered gated experiment.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Related Work and Positioning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work sits at the intersection of four literatures; full references are in the References section.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Shock propagation in production networks.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theoretical foundation was laid by Acemoglu et al. [1] on the network origins of aggregate fluctuations, with continuations on micro-origins and distortions (Acemoglu et al. [2]; Baqaee [3]; Bigio &amp; La'O [4]). The empirical side was established by Carvalho et al. [5], who traced the Tōhoku earthquake cascade through real supplier chains, Barrot &amp; Sauvagnat [6] via input specificity, and Boehm et al. [7]. Granularity as a source of aggregate fluctuations: Gabaix [8], di Giovanni &amp; Levchenko [9], Oberfield et al. [10]. Our work adds no theory here — it uses this structure as a substrate and asks how well dynamic models on it predict real cascades.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Simulation and agent-based models.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built a firm-level agent-based model of supply-chain propagation; Otto et al. [12] (Acclimate) model climate shocks on international trade. These are typically validated on a single event class; our contribution is orthogonal — a comparative-validation system in which such models can be placed side by side on a common benchmark.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Financial contagion.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Network propagation is well studied in finance: Allen &amp; Gale [13], Gai &amp; Kapadia [14], Battiston et al. [15], Elliott et al. [16], Haldane &amp; May [17], Acemoglu et al. [20]. We borrow the threshold-cascade idea (a node enters “distress” when losses exceed an endogenous threshold) but apply it to production output.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Epidemic dynamics and forecast validation.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Transferring SEIR schemes to economics accelerated after COVID (Eichenbaum et al. [18]; Coquidé et al. [19]; Starnini et al. [21]). A separate relevant thread is comparative-validation methodology — forecasting competitions and temporal-graph benchmarks have repeatedly found simple methods indistinguishable from complex ones; our result reproduces this pattern in a new domain.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Niche.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To the best of our knowledge, no published work combines SEIRS dynamics, the bullwhip effect and hysteresis in one engine and, more importantly, validates a cascade model simultaneously on magnitude, trajectory shape and spatial reach across dozens of heterogeneous events with a full statistical layer. The gap this work closes is not “yet another model” but “how to compare such models honestly.”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Data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Event benchmark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Each event specifies: the shocked node (country:industry or chokepoint), source-side shock magnitude, duration, forcing shape, horizon; and an observed target — the global/industry output loss from a primary source. The full list is Appendix A. Categories: earthquakes, floods, fires, lockdowns, energy crises, port congestion, chokepoint blockages, trade controls, strikes, financial crisis.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Source-tier protocol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(written): tier 1 — industry statistical agencies (OICA, JAMA, VDA, SIA) and official macro data (central banks, IMF, IMF PortWatch [26]); tier 2 — company filings; tier 3 (Reuters/Bloomberg/Nikkei) only when quoting tier 1/2. Rules: peak is distinguished from residual; derived numbers are tagged [DERIVED]; the node is assigned by where production occurred.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Negative control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events without a clean primary number (Philips 2000 fire) or with structural graph gaps (Boeing 737 MAX) are documented as not-wired with the reason, not fitted. The base contains 17+ near-misses — events with little actual cascade: the model is penalized for false positives.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Trajectory targets and graph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For Track B we collect: peak output loss of the shocked sector in the source country (measured targets only, status “null” with a reason where no source exists); weeks-to-peak and weeks-to-90%-recovery; 62 rows of “event → affected node → onset week” each primary-sourced. Graph v2: 41 nodes (12 countries × 6 industries + 5 chokepoints), weights cross-checked against OECD ICIO [25] (Spearman 0.79–0.84). Graph v3: 405 nodes (81 economies × 5 sectors) directly from the ICIO 2019 tables.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Models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the proposed engine: each node moves through Susceptible → Exposed (an inventory buffer absorbs incoming shortfall) → Infected (output loss with nonlinear amplification) → Recovered (hysteresis).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Baselines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(zero fitted parameters): a Leontief input–output model, linear network diffusion, a naive mean predictor. The configuration is deterministic (stochastic_sigma = 0, seed = 0) and pinned by a golden test.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Formal engine specification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Let s_i(t) ∈ [0, 1] be the shock level of node i in week t and D_eff the effective-dependency matrix. The per-step update (vectorized over nodes). Incoming pressure with the bullwhip effect, where β_i = bullwhip factor (1.25 in state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Impact impulse (δ — propagation decay, V — vulnerability, A — nonlinear amplification, ρ — resilience, the (1−s) factor giving saturation):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Weekly recovery rate tied to the node delay delay_i (8 weeks reference):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0.5)), 0, 0.95 )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State transition, where x_i is the event's external forcing (shape step/linear/exp/ramp), r_i = γ_i·s_i for unforced nodes, ε — noise (ε ≡ 0 in the benchmark):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Observed node output loss (η — elasticity, f_i — the R-state hysteresis floor, ≥ 0.30 while recovering):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Scalar cascade-severity index (c_i — node centrality, d_i — input exposure):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SEIRS states.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node moves S→E when incoming pressure crosses a trigger (an inventory buffer of depth inventory_scale absorbs the shortfall), E→I, I→R as the shock recedes; in R it holds for delay_i weeks with output floor f_i, then returns to S — this is the hysteresis.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Five calibrated parameters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all other quantities are structural or fixed. Baselines formally: Leontief solves an (I−A)^{-1}-type loss equilibrium; linear diffusion iterates s(t+1)=s(t)+δ·(W·s(t)) with no saturation or recovery; the naive predictor returns the sample mean.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Validation Methods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Three axes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(magnitude)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predicted vs. observed global/industry loss,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(shape)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the shocked node's own trajectory: peak magnitude (n=5), weeks-to-peak (n=15), weeks-to-90%-recovery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the share of historically-hit nodes the cascade reaches (recall), and the rank correlation of onset order.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Statistical layer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At N=27 the question “is the difference significant?” comes first. All procedures are deterministic (seed 20260718) and resample whole events.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Bootstrap CIs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per metric: 10,000 resamples, percentile 95% intervals.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Paired bootstrap of differences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shared resample indices for both models.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Sign-flip permutation test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for a pair (A, B) with per-event absolute errors e_A, e_B: statistic T = |mean(|e_A|−|e_B|)|; under H0 each difference's sign is flipped independently (20,000 permutations); two-sided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Power analysis / minimum detectable effect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for paired differences d_i, the smallest mean MAE difference detectable at 80% power and α=0.05, and the N required for the observed difference: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0.975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0.80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( 2.80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Out-of-sample check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leave-one-out cross-validation with per-fold differential-evolution recalibration of the five parameters — the held-out event never influences its own parameters; the baselines have no parameters.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Pre-registration of mechanism changes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Every engine change passes a pre-declared gate. Negative outcomes are preserved in the project record: inventory absorption, per-node recovery, hysteresis-floor removal — all three improved in-sample metrics and were rejected by the out-of-sample gate. The adopted change (ramp, §6.3) passed the same protocol.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Results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magnitude parity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four models at default parameters are in Table 1. Point estimates suggest a hierarchy, but none of the six pairwise MAE differences is significant (Figure 1): GEDS−Leontief ΔMAE +0.0074 [−0.0031; +0.0218], p=0.42; Leontief−naive −0.0040 [−0.0083; +0.0005], p=0.09; the rest p=0.21–0.97.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At N=27 single-number validation does not rank these models.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only significant Track-A signals are rank-based: linear diffusion (0.72 [0.40; 0.91]) and GEDS (0.45 [0.06; 0.73]).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Four models at default parameters; MAE / RMSE / Spearman with 95% bootstrap CIs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Model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CI]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CI]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CI]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 [0.011; 0.040]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0.0464 [0.021; 0.067]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0.45 [0.06; 0.73]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0.0168 [0.008; 0.028]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0.0313 [0.011; 0.046]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0.34 [−0.10; 0.67]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Linear diffusion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 [0.009; 0.029]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0.0317 [0.012; 0.049]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0.72 [0.40; 0.91]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Naive mean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0.0208 [0.013; 0.031]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0.0324 [0.014; 0.047]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(constant)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Pairwise MAE differences (first minus second) with 95% paired-bootstrap CIs and two-sided permutation p. All six pairs cross zero.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Predicted vs. observed per model, N=27; the dashed line is perfect agreement.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the trajectory axes separate the models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Neither Leontief nor the naive mean produces trajectories; linear diffusion gives a curve with no recovery. Only GEDS produces the full “peak → decay → recovery” shape — and on these axes the result is significant (Table 2). Recovery-duration ranking (0.88) is the strongest result; both timing CIs exclude zero. The magnitude axis at n=5 is statistically empty and is stated only as a limitation.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node-level trajectory-shape axes (the only axes that only GEDS produces).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Axis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CI]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Node peak magnitude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0.60 [−1.00; 1.00] — not claimed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Weeks to peak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0.69 [0.20; 0.87]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7.1 wk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Weeks to 90% recovery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0.88 [0.56; 0.99]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8.5 wk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Robustness to single points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leave-one-out test (drop each event and recompute Spearman) refutes the concern that a correlation rests on one point: for weeks-to-peak the full estimate is 0.691, LOO range [0.619; 0.790]; for recovery the full estimate is 0.883, LOO range [0.843; 0.917]. No single event drops the correlation below 0.62 and 0.84 respectively.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Mechanistic finding: why timing was at chance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Before this work weeks-to-peak scored Spearman 0.07 [−0.43; +0.53] — chance level. Forensics localized the cause: all three implemented forcing shapes (step, linear, exp) peak at onset, and the ratchet state update renders a declining forcing as a rectangular pulse — 12 of 15 predicted peaks fell on week 0. The engine lacked a “slowly rising shock” shape, which droughts, congestion and demand collapses require.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fix: a ramp shape (linear rise) was added and four events were moved to it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by real-world mechanism, declared before running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The pre-registered four-criterion gate passed: weeks-to-peak Spearman 0.07 → 0.69; other axes drop 0.00; benchmark cost +0.0001 MAE; untouched events bit-identical (Figure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Weeks to peak: predicted vs. observed before (open) and after (filled) adopting the ramp shape; Spearman 0.07 → 0.69.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Out-of-sample check and power analysis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27-fold LOO with per-fold DE recalibration: MAE 0.0192, RMSE 0.0422, Pearson 0.25, Spearman 0.56, R² −0.70. Paired vs. Leontief: ΔMAE +0.0024 [−0.0073; +0.0167], p=0.89 — parity holds out-of-sample too. Two systematic misses are stated honestly: Chi-Chi 1999 (0.19 vs. 0.005 — the source node does not heal within the horizon) and the 2008–09 crisis (0.051 vs. 0.130 — a demand collapse is structurally unlike the supply cascades the engine models).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Parity is a power limit, not a proven equivalence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(Table 3). At N=27 the minimum detectable effect for GEDS/Leontief is 0.0184, whereas the observed differences ~0.004–0.007 lie below resolution. Resolving the observed difference would require ≈166 events. This turns the null into a bounded, actionable statement and a target for the dataset.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Power analysis: minimum detectable effect at N=27 and the N required for the observed difference.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Pair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obs.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at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to detect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Leontief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linear diffusion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 vs naive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network completeness, not tuning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Same engine, same shocks — only the graph changes (Table 4). The dense graph closes exactly the gaps the hand-built one could not express (the Renesas-fire cascade into foreign automotive: 0/4 → 3/4). Onset order on reached nodes ranks well (Spearman 0.79). No parameter changed: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binding constraint is network completeness, not the fineness of the dynamics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(Figure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Cascade spatial reach: hand-built graph v2 vs. the ICIO graph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Graph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Nodes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Spatial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hand-built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Cascade spatial reach per event: share of historically-hit nodes reached on the hand-built graph v2 (open) and the ICIO graph v3 (filled).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Component ablation: what of the complex model actually works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standard question of a multi-component model is which parts carry weight. A component ablation (N=27, each component disabled in turn — Table 5) gives an uncomfortable but honest answer. Two components — the SEIS state machine and adaptive rerouting — contribute exactly zero on this set; the only component whose removal </w:t>
      </w:r>
      <w:r>
        <w:rPr>
          <w:rFonts w:ascii="Palatino Linotype" w:cs="Palatino Linotype" w:eastAsia="Palatino Linotype" w:hAnsi="Palatino Linotype"/>
          <w:i/>
          <w:iCs/>
          <w:sz w:val="19"/>
          <w:szCs w:val="19"/>
        </w:rPr>
        <w:t xml:space="preserve">hurts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is the bullwhip effect (+0.0023). Removing the R-state floor improves in-sample error (−0.0074), but that removal already failed the pre-registered out-of-sample gate (§5.3) and is rejected. Conclusion: at N=27 the engine's complexity largely does not pay off on the magnitude axis — consistent with §6.1 and pointing to growing N and the trajectory axes rather than adding mechanisms.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Component ablation of the engine (N=27): each component's contribution to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Variant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vs. full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Full engine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(no state machine)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−adaptive rerouting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−R-state floor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+per-node recovery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pure linear diffusion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Parameter sensitivity and identifiability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 variance-based Sobol sensitivity analysis (1536 engine runs, output mean_industry_loss_MAE, N=27 — Table 6) asks whether the five parameters are identifiable. Two parameters carry the output variance — recovery_rate (ST 0.62) and inventory_scale (ST 0.59) — and their low first-order indices (S1 0.39 and 0.42) against high total effects signal strong interaction between them (ST sum ≈ 1.30 ≫ 1); two parameters are negligible and can be fixed, and one is minor. Thus three of five parameters are effectively non-identifiable individually, with the fitting freedom concentrated in a strongly-coupled (recovery_rate, inventory_scale) pair. This independently corroborates §6.6 (the model is over-complex relative to what the N=27 data can constrain) and explains why per-fold recalibration (§6.4) so easily masks structural edits. (MCMC at 350 steps did not converge, r̂=2.03; Bayesian intervals are left to a longer future run.)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Sobol sensitivity indices (N=27): total effect ST and first-order S1 for the five parameters.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Parameter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Reading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variance + interactions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variance + interactions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minor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negligible — can be fixed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negligible — can be fixed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6.8. Structure versus tuning: the dense graph with a single parameter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Section 6.5 showed the ICIO graph reaches far more of the observed cascade, but its magnitudes were never scored: v3's parameters are uncalibrated structural priors and its predictions run roughly four times hot. Is that a shape error or a scale error?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It is scale. At default parameters the raw v3 ranks events markedly better than the fully calibrated v2 (Spearman 0.80 vs. 0.44) while systematically over-predicting (mean prediction 0.090 vs. observed 0.023). We added a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single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free quantity — a global scale factor fitted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out-of-sample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(leave-one-out: k is least-squares estimated on the other N−1 events and applied to the held-out one). Chokepoint events have no v3 representation, so all models are scored on the same 24 events (Table 7). The mean LOO factor k ≈ 0.26 is stable across folds.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The dense ICIO graph with one out-of-sample scale factor versus the calibrated v2 engine and the zero-parameter baselines (same 24 events).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1900"/>
        <w:gridCol w:w="1950"/>
        <w:gridCol w:w="195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Model</w:t>
            </w:r>
          </w:p>
        </w:tc>
        <w:tc>
          <w:tcPr>
            <w:tcW w:type="dxa" w:w="1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Free params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+ LOO scale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0.0133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+0.788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0.0182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+0.331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Linear diffusion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+0.707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Naive mean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0.0227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v2 (calibrated)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0.0266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+0.444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raw (no scale)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0.0677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+0.802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This is the first configuration to lead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every metric at once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achieved with one parameter instead of five.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What we do not claim: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no advantage is significant — against Leontief ΔMAE −0.0049 (p = 0.34), against linear diffusion −0.0052 (p = 0.50), against the naive mean −0.0094 (p = 0.06), against v2 −0.0132 (p = 0.17). The §6.1 parity finding is therefore not overturned but confirmed once more, now on the best available configuration: even it does not separate from the baselines at this N — exactly what the §6.4 power analysis predicts.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substantive meaning lies elsewhere. Replacing the hand-built graph with measured input–output structure buys more on magnitude than calibrating five dynamics parameters on the hand-built graph (0.0133 vs. 0.0266) — the magnitude-axis counterpart of the spatial result in §6.5. Both point the same way: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information carried by network completeness and accuracy is not substitutable by parameter tuning.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full five-parameter calibration on v3 is a separate computational task (the 405-node engine is roughly 9× slower) and is left to future work.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Discussion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Three results combine into one conclusion. (1) On the axis almost every paper reports — point magnitude — four fundamentally different models are statistically indistinguishable, and this is not an artifact of weak tuning: the parity survives per-fold recalibration and is quantitatively power-limited. (2) The axes that do separate the models are temporal and spatial: where only a full dynamic model can even compete, its results are significant (0.69 and 0.88). (3) The largest measured quality gain came not from dynamics but from network-structure data (recall 0.29 → 0.79, free in parameters).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Practical takeaway: cascade models should be validated by “predict the pattern, not one number,” or leaderboards compare noise. Methodological takeaway: pre-registering gates turns negative results into publishable assets.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Limitations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for Track A and n=5/15/11 for Track B — power is limited; absence of significance is not equivalence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node-magnitude axis is empty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CI [−1; 1]): monthly fab-output indices are seldom published.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Two structural misses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(Chi-Chi, the 2008–09 crisis) are described but not solved; three fix attempts were rejected by the out-of-sample gate.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Baselines are canonical rather than published implementations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comparison against published cascade models [11,12] is the next step.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Graph completeness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omits several real producers; v3 (405 nodes) is not yet calibrated on magnitudes.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Reproducibility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engine configuration is pinned (fixed seeds, stochasticity off); results are frozen by golden tests, and any numeric change is an explicit diff in the same commit. The statistical layer is deterministic (seed 20260718). The headline-numbers document and all figures are generated by scripts from artifacts; each figure ships with its numeric table. 157 automated tests. Exact commands are in Appendix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Conclusion and Future Work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benchmark and three-axis validation give a way to tell cascade models apart in a statistically honest manner. Next: grow N via chokepoint events (IMF PortWatch transit data sidesteps the aggregate-dilution problem); calibrate magnitudes on the 405-node ICIO graph; a demand-side mechanism for 2008–09-type events; and releasing the benchmark as an open standard for third-party models.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Back matter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Data and code availability.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All data, engine code, validation scripts and artifacts are open in the project repository; every calibration target carries a primary source. Numbers reproduce via the Appendix B commands.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Author contributions.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[Complete per CRediT: conceptualization, methodology, software, validation, formal analysis, writing — original draft / review &amp; editing, visualization.]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Funding.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[This research received no external funding / state the grant.]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Institutional review.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Not applicable (no human or animal subjects; only aggregate open economic data).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Conflicts of interest.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author(s) declare no conflict of interest.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References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Appendix A. Full event benchmark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Generated from seed_data.py; per-event primary sources are line-by-line in historical_events.csv. “Magn.” is the source-side shock magnitude (model input), “Target” is the observed loss (validation output).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Event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Node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Magn.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Dur.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Appendix B. Reproducibility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All numbers in the paper regenerate from the repository: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figures + CSVs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ablation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Sobol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tests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three-axis validation (preprint)</dc:title>
  <dc:creator>GEDS</dc:creator>
  <cp:lastModifiedBy>Un-named</cp:lastModifiedBy>
  <cp:revision>1</cp:revision>
  <dcterms:created xsi:type="dcterms:W3CDTF">2026-07-27T05:25:06.184Z</dcterms:created>
  <dcterms:modified xsi:type="dcterms:W3CDTF">2026-07-27T05:25:06.184Z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