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[Journal Name] · working preprint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Open Access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[Surname Given-name]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[Institution], [City], [Country]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 — Table 6) asks whether the five parameters are identifiable; the ranking is stable across event-set size. Of the five, only one is truly identifiable — recovery_rate, carrying ~91% of output variance; inventory_scale acts only through interactions and two parameters are negligible and can be fixed. This independently corroborates §6.6 (the model is over-complex relative to what the N=27 data can constrain) and explains why per-fold recalibration (§6.4) so easily masks structural edits: almost all fitting freedom lives in one parameter.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0.913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0.771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dominates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0.270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interactions only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moderate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0.003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AI-use disclosure and acknowledgements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Engineering implementation, statistical processing and documentation drafting used an AI assistant (Claude Code, Anthropic) under the author's direction; problem framing, data-inclusion decisions, mechanism accept/reject calls at the gates, and the final text are the author's. All data come from open primary sources listed line-by-line in the repository CSVs.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2026-07-26T08:22:30.792Z</dcterms:created>
  <dcterms:modified xsi:type="dcterms:W3CDTF">2026-07-26T08:22:30.793Z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