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Palatino Linotype" w:cs="Palatino Linotype" w:eastAsia="Palatino Linotype" w:hAnsi="Palatino Linotype"/>
          <w:b/>
          <w:bCs/>
          <w:color w:val="0E7C3A"/>
          <w:sz w:val="24"/>
          <w:szCs w:val="24"/>
        </w:rPr>
        <w:t xml:space="preserve">Article</w:t>
      </w:r>
    </w:p>
    <w:p>
      <w:pPr>
        <w:spacing w:after="120"/>
      </w:pPr>
      <w:r>
        <w:rPr>
          <w:rFonts w:ascii="Palatino Linotype" w:cs="Palatino Linotype" w:eastAsia="Palatino Linotype" w:hAnsi="Palatino Linotype"/>
          <w:b/>
          <w:bCs/>
          <w:color w:val="1A1A1A"/>
          <w:sz w:val="32"/>
          <w:szCs w:val="32"/>
        </w:rPr>
        <w:t xml:space="preserve">Can a Single Number Tell a Good Cascade Model from a Naive One? A Three-Axis Validation of a Global Supply-Chain Disruption Simulator on 27 Primary-Sourced Historical Events</w:t>
      </w:r>
    </w:p>
    <w:p>
      <w:pPr>
        <w:spacing w:after="40"/>
      </w:pPr>
      <w:r>
        <w:rPr>
          <w:rFonts w:ascii="Palatino Linotype" w:cs="Palatino Linotype" w:eastAsia="Palatino Linotype" w:hAnsi="Palatino Linotype"/>
          <w:sz w:val="22"/>
          <w:szCs w:val="22"/>
        </w:rPr>
        <w:t xml:space="preserve">Yerzat Mametayev</w:t>
      </w:r>
      <w:r>
        <w:rPr>
          <w:rFonts w:ascii="Palatino Linotype" w:cs="Palatino Linotype" w:eastAsia="Palatino Linotype" w:hAnsi="Palatino Linotype"/>
          <w:sz w:val="22"/>
          <w:szCs w:val="22"/>
          <w:vertAlign w:val="superscript"/>
        </w:rPr>
        <w:t xml:space="preserve"> 1,*</w:t>
      </w:r>
    </w:p>
    <w:p>
      <w:pPr>
        <w:spacing w:after="20"/>
      </w:pPr>
      <w:r>
        <w:rPr>
          <w:rFonts w:ascii="Palatino Linotype" w:cs="Palatino Linotype" w:eastAsia="Palatino Linotype" w:hAnsi="Palatino Linotype"/>
          <w:sz w:val="16"/>
          <w:szCs w:val="16"/>
          <w:vertAlign w:val="superscript"/>
        </w:rPr>
        <w:t xml:space="preserve">1</w:t>
      </w:r>
      <w:r>
        <w:rPr>
          <w:rFonts w:ascii="Palatino Linotype" w:cs="Palatino Linotype" w:eastAsia="Palatino Linotype" w:hAnsi="Palatino Linotype"/>
          <w:color w:val="595959"/>
          <w:sz w:val="16"/>
          <w:szCs w:val="16"/>
        </w:rPr>
        <w:t xml:space="preserve">  Nazarbayev Intellectual School of Physics and Mathematics in Semey, Semey, Kazakhstan</w:t>
      </w:r>
    </w:p>
    <w:p>
      <w:pPr>
        <w:spacing w:after="120"/>
      </w:pPr>
      <w:r>
        <w:rPr>
          <w:rFonts w:ascii="Palatino Linotype" w:cs="Palatino Linotype" w:eastAsia="Palatino Linotype" w:hAnsi="Palatino Linotype"/>
          <w:sz w:val="16"/>
          <w:szCs w:val="16"/>
          <w:vertAlign w:val="superscript"/>
        </w:rPr>
        <w:t xml:space="preserve">*</w:t>
      </w:r>
      <w:r>
        <w:rPr>
          <w:rFonts w:ascii="Palatino Linotype" w:cs="Palatino Linotype" w:eastAsia="Palatino Linotype" w:hAnsi="Palatino Linotype"/>
          <w:color w:val="595959"/>
          <w:sz w:val="16"/>
          <w:szCs w:val="16"/>
        </w:rPr>
        <w:t xml:space="preserve">  Correspondence: mametaeverzat014@gmail.com</w:t>
      </w:r>
    </w:p>
    <w:tbl>
      <w:tblPr>
        <w:tblW w:type="dxa" w:w="9638"/>
        <w:tblBorders>
          <w:top w:val="single" w:color="D7E2DB" w:sz="4"/>
          <w:left w:val="single" w:color="D7E2DB" w:sz="4"/>
          <w:bottom w:val="single" w:color="D7E2DB" w:sz="4"/>
          <w:right w:val="single" w:color="D7E2DB" w:sz="4"/>
          <w:insideH w:val="none" w:color="FFFFFF" w:sz="0"/>
          <w:insideV w:val="none" w:color="FFFFFF" w:sz="0"/>
        </w:tblBorders>
      </w:tblPr>
      <w:tblGrid>
        <w:gridCol w:w="9638"/>
      </w:tblGrid>
      <w:tr>
        <w:tc>
          <w:tcPr>
            <w:tcW w:type="dxa" w:w="9638"/>
            <w:shd w:fill="F5F7F6" w:val="clear"/>
            <w:tcMar>
              <w:top w:type="dxa" w:w="100"/>
              <w:left w:type="dxa" w:w="140"/>
              <w:bottom w:type="dxa" w:w="100"/>
              <w:right w:type="dxa" w:w="140"/>
            </w:tcMar>
          </w:tcPr>
          <w:p>
            <w:pPr>
              <w:spacing w:line="22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Global supply-chain disruptions — earthquakes, floods, canal blockages, financial crises — cascade across industries and countries, yet published simulation models are typically validated on one or two events and a single error metric. This work asks whether such validation can distinguish a substantive model from a naive baseline at all, and builds the infrastructure to answer it. We assemble a benchmark of 27 historical events (1999–2023, ten categories), each calibrated from primary sources under a written source-tier protocol, and a three-axis validation system scoring (1) global loss magnitude, (2) node-level cascade shape (peak, timing, recovery), and (3) spatial reach. Four models are tested: a novel SEIRS-bullwhip-hysteresis simulator (GEDS), a Leontief input–output model, linear network diffusion, and a naive mean predictor. On point magnitude no model significantly outperforms any other (all six pairwise permutation tests p ≥ 0.09 at N=27), and the result survives leave-one-out per-fold recalibration (p = 0.89): single-number validation cannot separate these models. A power analysis shows that at N=27 the minimum detectable effect (0.018 MAE) exceeds the real inter-model differences (~0.007), so the parity is resolution-limited rather than proven. Trajectory validation does separate the models: GEDS, the only model producing full trajectories, ranks recovery durations at Spearman 0.88 (95% CI 0.56–0.99) and peak timing at 0.69 (0.20–0.87). Replacing the hand-built 12-country graph with the 405-node OECD ICIO graph raises spatial reach from 0.29 to 0.79 with no parameter tuning. All results are deterministic, locked by golden tests, and reproducible from an open repository.</w:t>
            </w:r>
          </w:p>
        </w:tc>
      </w:tr>
    </w:tbl>
    <w:p>
      <w:pPr>
        <w:spacing w:after="60" w:before="8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supply chains; shock propagation; model validation; SEIRS; bootstrap; permutation test; power analysis; OECD ICIO; cascade benchmark</w:t>
      </w:r>
    </w:p>
    <w:tbl>
      <w:tblPr>
        <w:tblW w:type="dxa" w:w="9638"/>
        <w:tblBorders>
          <w:top w:val="none" w:color="FFFFFF" w:sz="0"/>
          <w:left w:val="single" w:color="0E7C3A" w:sz="18"/>
          <w:bottom w:val="none" w:color="FFFFFF" w:sz="0"/>
          <w:right w:val="none" w:color="FFFFFF" w:sz="0"/>
          <w:insideH w:val="none" w:color="FFFFFF" w:sz="0"/>
          <w:insideV w:val="none" w:color="FFFFFF" w:sz="0"/>
        </w:tblBorders>
      </w:tblPr>
      <w:tblGrid>
        <w:gridCol w:w="9638"/>
      </w:tblGrid>
      <w:tr>
        <w:tc>
          <w:tcPr>
            <w:tcW w:type="dxa" w:w="9638"/>
            <w:tcMar>
              <w:top w:type="dxa" w:w="60"/>
              <w:left w:type="dxa" w:w="160"/>
              <w:bottom w:type="dxa" w:w="60"/>
              <w:right w:type="dxa" w:w="60"/>
            </w:tcMar>
          </w:tcPr>
          <w:p>
            <w:pPr>
              <w:spacing w:after="40"/>
            </w:pPr>
            <w:r>
              <w:rPr>
                <w:rFonts w:ascii="Palatino Linotype" w:cs="Palatino Linotype" w:eastAsia="Palatino Linotype" w:hAnsi="Palatino Linotype"/>
                <w:b/>
                <w:bCs/>
                <w:color w:val="0E7C3A"/>
                <w:sz w:val="17"/>
                <w:szCs w:val="17"/>
              </w:rPr>
              <w:t xml:space="preserve">Highlights</w:t>
            </w:r>
          </w:p>
          <w:p>
            <w:pPr>
              <w:spacing w:after="20" w:line="220"/>
              <w:ind w:left="200" w:hanging="160"/>
            </w:pPr>
            <w:r>
              <w:rPr>
                <w:rFonts w:ascii="Palatino Linotype" w:cs="Palatino Linotype" w:eastAsia="Palatino Linotype" w:hAnsi="Palatino Linotype"/>
                <w:sz w:val="16"/>
                <w:szCs w:val="16"/>
              </w:rPr>
              <w:t xml:space="preserve">•  Single-number validation cannot rank four supply-chain cascade models at N=27 (all pairwise p ≥ 0.09).</w:t>
            </w:r>
          </w:p>
          <w:p>
            <w:pPr>
              <w:spacing w:after="20" w:line="220"/>
              <w:ind w:left="200" w:hanging="160"/>
            </w:pPr>
            <w:r>
              <w:rPr>
                <w:rFonts w:ascii="Palatino Linotype" w:cs="Palatino Linotype" w:eastAsia="Palatino Linotype" w:hAnsi="Palatino Linotype"/>
                <w:sz w:val="16"/>
                <w:szCs w:val="16"/>
              </w:rPr>
              <w:t xml:space="preserve">•  The null is quantified, not assumed: minimum detectable effect 0.018 MAE vs. real gaps ~0.007; ~166 events needed to resolve.</w:t>
            </w:r>
          </w:p>
          <w:p>
            <w:pPr>
              <w:spacing w:after="20" w:line="220"/>
              <w:ind w:left="200" w:hanging="160"/>
            </w:pPr>
            <w:r>
              <w:rPr>
                <w:rFonts w:ascii="Palatino Linotype" w:cs="Palatino Linotype" w:eastAsia="Palatino Linotype" w:hAnsi="Palatino Linotype"/>
                <w:sz w:val="16"/>
                <w:szCs w:val="16"/>
              </w:rPr>
              <w:t xml:space="preserve">•  Trajectory validation separates the models: recovery-duration ranking Spearman 0.88 (95% CI 0.56–0.99).</w:t>
            </w:r>
          </w:p>
          <w:p>
            <w:pPr>
              <w:spacing w:after="20" w:line="220"/>
              <w:ind w:left="200" w:hanging="160"/>
            </w:pPr>
            <w:r>
              <w:rPr>
                <w:rFonts w:ascii="Palatino Linotype" w:cs="Palatino Linotype" w:eastAsia="Palatino Linotype" w:hAnsi="Palatino Linotype"/>
                <w:sz w:val="16"/>
                <w:szCs w:val="16"/>
              </w:rPr>
              <w:t xml:space="preserve">•  Grounding the graph in OECD ICIO data lifts spatial reach 0.29 → 0.79 with zero parameter tuning.</w:t>
            </w:r>
          </w:p>
        </w:tc>
      </w:tr>
    </w:tbl>
    <w:p>
      <w:pPr>
        <w:pBdr>
          <w:left w:val="single" w:color="0E7C3A" w:sz="18" w:space="10"/>
        </w:pBdr>
        <w:spacing w:after="100" w:before="40"/>
        <w:ind w:left="160"/>
      </w:pPr>
      <w:r>
        <w:rPr>
          <w:rFonts w:ascii="Palatino Linotype" w:cs="Palatino Linotype" w:eastAsia="Palatino Linotype" w:hAnsi="Palatino Linotype"/>
          <w:color w:val="595959"/>
          <w:sz w:val="15"/>
          <w:szCs w:val="15"/>
        </w:rPr>
        <w:t xml:space="preserve">Type: working preprint (ISEF project).  </w:t>
      </w:r>
      <w:r>
        <w:rPr>
          <w:rFonts w:ascii="Palatino Linotype" w:cs="Palatino Linotype" w:eastAsia="Palatino Linotype" w:hAnsi="Palatino Linotype"/>
          <w:color w:val="595959"/>
          <w:sz w:val="15"/>
          <w:szCs w:val="15"/>
        </w:rPr>
        <w:t xml:space="preserve">Received / Accepted / Published: —.  </w:t>
      </w:r>
      <w:r>
        <w:rPr>
          <w:rFonts w:ascii="Palatino Linotype" w:cs="Palatino Linotype" w:eastAsia="Palatino Linotype" w:hAnsi="Palatino Linotype"/>
          <w:color w:val="595959"/>
          <w:sz w:val="15"/>
          <w:szCs w:val="15"/>
        </w:rPr>
        <w:t xml:space="preserve">Copyright: © 2026 the author(s). CC BY 4.0.  </w:t>
      </w:r>
      <w:r>
        <w:rPr>
          <w:rFonts w:ascii="Palatino Linotype" w:cs="Palatino Linotype" w:eastAsia="Palatino Linotype" w:hAnsi="Palatino Linotype"/>
          <w:color w:val="595959"/>
          <w:sz w:val="15"/>
          <w:szCs w:val="15"/>
        </w:rPr>
        <w:t xml:space="preserve">All numbers are generated from repository artifacts and reproducible under fixed seeds.</w:t>
      </w:r>
    </w:p>
    <w:p>
      <w:pPr>
        <w:sectPr>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1. Introduction</w:t>
      </w:r>
    </w:p>
    <w:p>
      <w:pPr>
        <w:keepNext/>
        <w:spacing w:after="50" w:before="140"/>
      </w:pPr>
      <w:r>
        <w:rPr>
          <w:rFonts w:ascii="Palatino Linotype" w:cs="Palatino Linotype" w:eastAsia="Palatino Linotype" w:hAnsi="Palatino Linotype"/>
          <w:b/>
          <w:bCs/>
          <w:i/>
          <w:iCs/>
          <w:color w:val="1A1A1A"/>
          <w:sz w:val="19"/>
          <w:szCs w:val="19"/>
        </w:rPr>
        <w:t xml:space="preserve">1.1. Motivation</w:t>
      </w:r>
    </w:p>
    <w:p>
      <w:pPr>
        <w:spacing w:after="20" w:line="240"/>
        <w:ind w:firstLine="220"/>
        <w:jc w:val="both"/>
      </w:pPr>
      <w:r>
        <w:rPr>
          <w:rFonts w:ascii="Palatino Linotype" w:cs="Palatino Linotype" w:eastAsia="Palatino Linotype" w:hAnsi="Palatino Linotype"/>
          <w:sz w:val="19"/>
          <w:szCs w:val="19"/>
        </w:rPr>
        <w:t xml:space="preserve">The 2021 blockage of the Suez Canal by the container ship Ever Given halted roughly 12% of world trade for six days; the 2011 Thai floods cut national vehicle output by 87.5% at their monthly peak; the 2020–2021 chip shortage cost the global auto industry 9.5 million unbuilt vehicles. Policymakers and firms need models that predict how a local shock will propagate across the global production network. The literature offers dozens of such models — yet almost every one is validated on one or two events, most often against a single scalar.</w:t>
      </w:r>
    </w:p>
    <w:p>
      <w:pPr>
        <w:spacing w:after="20" w:line="240"/>
        <w:ind w:firstLine="220"/>
        <w:jc w:val="both"/>
      </w:pPr>
      <w:r>
        <w:rPr>
          <w:rFonts w:ascii="Palatino Linotype" w:cs="Palatino Linotype" w:eastAsia="Palatino Linotype" w:hAnsi="Palatino Linotype"/>
          <w:sz w:val="19"/>
          <w:szCs w:val="19"/>
        </w:rPr>
        <w:t xml:space="preserve">This work began as building yet another model. It ended with a different conclusion: the standard way of validating such models cannot tell a complex model from a naive one, and so a validation instrument that can was built instead.</w:t>
      </w:r>
    </w:p>
    <w:p>
      <w:pPr>
        <w:keepNext/>
        <w:spacing w:after="50" w:before="140"/>
      </w:pPr>
      <w:r>
        <w:rPr>
          <w:rFonts w:ascii="Palatino Linotype" w:cs="Palatino Linotype" w:eastAsia="Palatino Linotype" w:hAnsi="Palatino Linotype"/>
          <w:b/>
          <w:bCs/>
          <w:i/>
          <w:iCs/>
          <w:color w:val="1A1A1A"/>
          <w:sz w:val="19"/>
          <w:szCs w:val="19"/>
        </w:rPr>
        <w:t xml:space="preserve">1.2. Research question</w:t>
      </w:r>
    </w:p>
    <w:p>
      <w:pPr>
        <w:spacing w:after="20" w:line="240"/>
        <w:ind w:firstLine="220"/>
        <w:jc w:val="both"/>
      </w:pPr>
      <w:r>
        <w:rPr>
          <w:rFonts w:ascii="Palatino Linotype" w:cs="Palatino Linotype" w:eastAsia="Palatino Linotype" w:hAnsi="Palatino Linotype"/>
          <w:b/>
          <w:bCs/>
          <w:sz w:val="19"/>
          <w:szCs w:val="19"/>
        </w:rPr>
        <w:t xml:space="preserve">Can single-number validation (peak loss magnitude) distinguish a substantive shock-propagation model from trivial baselines — and if not, which validation axes do separate the models?</w:t>
      </w:r>
    </w:p>
    <w:p>
      <w:pPr>
        <w:keepNext/>
        <w:spacing w:after="50" w:before="140"/>
      </w:pPr>
      <w:r>
        <w:rPr>
          <w:rFonts w:ascii="Palatino Linotype" w:cs="Palatino Linotype" w:eastAsia="Palatino Linotype" w:hAnsi="Palatino Linotype"/>
          <w:b/>
          <w:bCs/>
          <w:i/>
          <w:iCs/>
          <w:color w:val="1A1A1A"/>
          <w:sz w:val="19"/>
          <w:szCs w:val="19"/>
        </w:rPr>
        <w:t xml:space="preserve">1.3. Contributions</w:t>
      </w:r>
    </w:p>
    <w:p>
      <w:pPr>
        <w:spacing w:after="20" w:line="240"/>
        <w:ind w:left="300" w:hanging="300"/>
        <w:jc w:val="both"/>
      </w:pPr>
      <w:r>
        <w:rPr>
          <w:rFonts w:ascii="Palatino Linotype" w:cs="Palatino Linotype" w:eastAsia="Palatino Linotype" w:hAnsi="Palatino Linotype"/>
          <w:sz w:val="19"/>
          <w:szCs w:val="19"/>
        </w:rPr>
        <w:t xml:space="preserve">1. </w:t>
      </w:r>
      <w:r>
        <w:rPr>
          <w:rFonts w:ascii="Palatino Linotype" w:cs="Palatino Linotype" w:eastAsia="Palatino Linotype" w:hAnsi="Palatino Linotype"/>
          <w:b/>
          <w:bCs/>
          <w:sz w:val="19"/>
          <w:szCs w:val="19"/>
        </w:rPr>
        <w:t xml:space="preserve">Benchmark</w:t>
      </w:r>
      <w:r>
        <w:rPr>
          <w:rFonts w:ascii="Palatino Linotype" w:cs="Palatino Linotype" w:eastAsia="Palatino Linotype" w:hAnsi="Palatino Linotype"/>
          <w:sz w:val="19"/>
          <w:szCs w:val="19"/>
        </w:rPr>
        <w:t xml:space="preserve">: 27 historical disruption events (1999–2023) with calibration targets from primary sources under a written source-tier protocol, plus a library of 17+ documented near-misses as a negative control.</w:t>
      </w:r>
    </w:p>
    <w:p>
      <w:pPr>
        <w:spacing w:after="20" w:line="240"/>
        <w:ind w:left="300" w:hanging="300"/>
        <w:jc w:val="both"/>
      </w:pPr>
      <w:r>
        <w:rPr>
          <w:rFonts w:ascii="Palatino Linotype" w:cs="Palatino Linotype" w:eastAsia="Palatino Linotype" w:hAnsi="Palatino Linotype"/>
          <w:sz w:val="19"/>
          <w:szCs w:val="19"/>
        </w:rPr>
        <w:t xml:space="preserve">2. </w:t>
      </w:r>
      <w:r>
        <w:rPr>
          <w:rFonts w:ascii="Palatino Linotype" w:cs="Palatino Linotype" w:eastAsia="Palatino Linotype" w:hAnsi="Palatino Linotype"/>
          <w:b/>
          <w:bCs/>
          <w:sz w:val="19"/>
          <w:szCs w:val="19"/>
        </w:rPr>
        <w:t xml:space="preserve">Three-axis validation system</w:t>
      </w:r>
      <w:r>
        <w:rPr>
          <w:rFonts w:ascii="Palatino Linotype" w:cs="Palatino Linotype" w:eastAsia="Palatino Linotype" w:hAnsi="Palatino Linotype"/>
          <w:sz w:val="19"/>
          <w:szCs w:val="19"/>
        </w:rPr>
        <w:t xml:space="preserve">: global magnitude (Track A), shocked-node trajectory shape (Track B), spatial reach and onset order.</w:t>
      </w:r>
    </w:p>
    <w:p>
      <w:pPr>
        <w:spacing w:after="20" w:line="240"/>
        <w:ind w:left="300" w:hanging="300"/>
        <w:jc w:val="both"/>
      </w:pPr>
      <w:r>
        <w:rPr>
          <w:rFonts w:ascii="Palatino Linotype" w:cs="Palatino Linotype" w:eastAsia="Palatino Linotype" w:hAnsi="Palatino Linotype"/>
          <w:sz w:val="19"/>
          <w:szCs w:val="19"/>
        </w:rPr>
        <w:t xml:space="preserve">3. </w:t>
      </w:r>
      <w:r>
        <w:rPr>
          <w:rFonts w:ascii="Palatino Linotype" w:cs="Palatino Linotype" w:eastAsia="Palatino Linotype" w:hAnsi="Palatino Linotype"/>
          <w:b/>
          <w:bCs/>
          <w:sz w:val="19"/>
          <w:szCs w:val="19"/>
        </w:rPr>
        <w:t xml:space="preserve">Statistical layer</w:t>
      </w:r>
      <w:r>
        <w:rPr>
          <w:rFonts w:ascii="Palatino Linotype" w:cs="Palatino Linotype" w:eastAsia="Palatino Linotype" w:hAnsi="Palatino Linotype"/>
          <w:sz w:val="19"/>
          <w:szCs w:val="19"/>
        </w:rPr>
        <w:t xml:space="preserve">: event-level bootstrap, paired bootstrap with shared indices, sign-flip permutation tests, and a power analysis — every “better/worse” comes with a confidence interval and a p-value.</w:t>
      </w:r>
    </w:p>
    <w:p>
      <w:pPr>
        <w:spacing w:after="20" w:line="240"/>
        <w:ind w:left="300" w:hanging="300"/>
        <w:jc w:val="both"/>
      </w:pPr>
      <w:r>
        <w:rPr>
          <w:rFonts w:ascii="Palatino Linotype" w:cs="Palatino Linotype" w:eastAsia="Palatino Linotype" w:hAnsi="Palatino Linotype"/>
          <w:sz w:val="19"/>
          <w:szCs w:val="19"/>
        </w:rPr>
        <w:t xml:space="preserve">4. </w:t>
      </w:r>
      <w:r>
        <w:rPr>
          <w:rFonts w:ascii="Palatino Linotype" w:cs="Palatino Linotype" w:eastAsia="Palatino Linotype" w:hAnsi="Palatino Linotype"/>
          <w:b/>
          <w:bCs/>
          <w:sz w:val="19"/>
          <w:szCs w:val="19"/>
        </w:rPr>
        <w:t xml:space="preserve">An honest headline result</w:t>
      </w:r>
      <w:r>
        <w:rPr>
          <w:rFonts w:ascii="Palatino Linotype" w:cs="Palatino Linotype" w:eastAsia="Palatino Linotype" w:hAnsi="Palatino Linotype"/>
          <w:sz w:val="19"/>
          <w:szCs w:val="19"/>
        </w:rPr>
        <w:t xml:space="preserve">: magnitude parity of all four models at N=27 (in- and out-of-sample, and this is a power limit, not equivalence) and significant separation on the trajectory axes, where only GEDS competes.</w:t>
      </w:r>
    </w:p>
    <w:p>
      <w:pPr>
        <w:spacing w:after="20" w:line="240"/>
        <w:ind w:left="300" w:hanging="300"/>
        <w:jc w:val="both"/>
      </w:pPr>
      <w:r>
        <w:rPr>
          <w:rFonts w:ascii="Palatino Linotype" w:cs="Palatino Linotype" w:eastAsia="Palatino Linotype" w:hAnsi="Palatino Linotype"/>
          <w:sz w:val="19"/>
          <w:szCs w:val="19"/>
        </w:rPr>
        <w:t xml:space="preserve">5. </w:t>
      </w:r>
      <w:r>
        <w:rPr>
          <w:rFonts w:ascii="Palatino Linotype" w:cs="Palatino Linotype" w:eastAsia="Palatino Linotype" w:hAnsi="Palatino Linotype"/>
          <w:b/>
          <w:bCs/>
          <w:sz w:val="19"/>
          <w:szCs w:val="19"/>
        </w:rPr>
        <w:t xml:space="preserve">A mechanistic finding</w:t>
      </w:r>
      <w:r>
        <w:rPr>
          <w:rFonts w:ascii="Palatino Linotype" w:cs="Palatino Linotype" w:eastAsia="Palatino Linotype" w:hAnsi="Palatino Linotype"/>
          <w:sz w:val="19"/>
          <w:szCs w:val="19"/>
        </w:rPr>
        <w:t xml:space="preserve">: peak timing was at chance because the engine lacked a rising forcing shape; the defect was localized and the fix adopted through a pre-registered gated experiment.</w:t>
      </w:r>
    </w:p>
    <w:p>
      <w:pPr>
        <w:keepNext/>
        <w:spacing w:after="70" w:before="200"/>
      </w:pPr>
      <w:r>
        <w:rPr>
          <w:rFonts w:ascii="Palatino Linotype" w:cs="Palatino Linotype" w:eastAsia="Palatino Linotype" w:hAnsi="Palatino Linotype"/>
          <w:b/>
          <w:bCs/>
          <w:color w:val="1A1A1A"/>
          <w:sz w:val="21"/>
          <w:szCs w:val="21"/>
        </w:rPr>
        <w:t xml:space="preserve">2. Related Work and Positioning</w:t>
      </w:r>
    </w:p>
    <w:p>
      <w:pPr>
        <w:spacing w:after="20" w:line="240"/>
        <w:ind w:firstLine="220"/>
        <w:jc w:val="both"/>
      </w:pPr>
      <w:r>
        <w:rPr>
          <w:rFonts w:ascii="Palatino Linotype" w:cs="Palatino Linotype" w:eastAsia="Palatino Linotype" w:hAnsi="Palatino Linotype"/>
          <w:sz w:val="19"/>
          <w:szCs w:val="19"/>
        </w:rPr>
        <w:t xml:space="preserve">The work sits at the intersection of four literatures; full references are in the References section.</w:t>
      </w:r>
    </w:p>
    <w:p>
      <w:pPr>
        <w:spacing w:after="20" w:line="240"/>
        <w:ind w:firstLine="220"/>
        <w:jc w:val="both"/>
      </w:pPr>
      <w:r>
        <w:rPr>
          <w:rFonts w:ascii="Palatino Linotype" w:cs="Palatino Linotype" w:eastAsia="Palatino Linotype" w:hAnsi="Palatino Linotype"/>
          <w:b/>
          <w:bCs/>
          <w:sz w:val="19"/>
          <w:szCs w:val="19"/>
        </w:rPr>
        <w:t xml:space="preserve">Shock propagation in production networks.</w:t>
      </w:r>
      <w:r>
        <w:rPr>
          <w:rFonts w:ascii="Palatino Linotype" w:cs="Palatino Linotype" w:eastAsia="Palatino Linotype" w:hAnsi="Palatino Linotype"/>
          <w:sz w:val="19"/>
          <w:szCs w:val="19"/>
        </w:rPr>
        <w:t xml:space="preserve"> The theoretical foundation was laid by Acemoglu et al. [1] on the network origins of aggregate fluctuations, with continuations on micro-origins and distortions (Acemoglu et al. [2]; Baqaee [3]; Bigio &amp; La'O [4]). The empirical side was established by Carvalho et al. [5], who traced the Tōhoku earthquake cascade through real supplier chains, Barrot &amp; Sauvagnat [6] via input specificity, and Boehm et al. [7]. Granularity as a source of aggregate fluctuations: Gabaix [8], di Giovanni &amp; Levchenko [9], Oberfield et al. [10]. Our work adds no theory here — it uses this structure as a substrate and asks how well dynamic models on it predict real cascades.</w:t>
      </w:r>
    </w:p>
    <w:p>
      <w:pPr>
        <w:spacing w:after="20" w:line="240"/>
        <w:ind w:firstLine="220"/>
        <w:jc w:val="both"/>
      </w:pPr>
      <w:r>
        <w:rPr>
          <w:rFonts w:ascii="Palatino Linotype" w:cs="Palatino Linotype" w:eastAsia="Palatino Linotype" w:hAnsi="Palatino Linotype"/>
          <w:b/>
          <w:bCs/>
          <w:sz w:val="19"/>
          <w:szCs w:val="19"/>
        </w:rPr>
        <w:t xml:space="preserve">Simulation and agent-based models.</w:t>
      </w:r>
      <w:r>
        <w:rPr>
          <w:rFonts w:ascii="Palatino Linotype" w:cs="Palatino Linotype" w:eastAsia="Palatino Linotype" w:hAnsi="Palatino Linotype"/>
          <w:sz w:val="19"/>
          <w:szCs w:val="19"/>
        </w:rPr>
        <w:t xml:space="preserve"> Inoue &amp; Todo [11] built a firm-level agent-based model of supply-chain propagation; Otto et al. [12] (Acclimate) model climate shocks on international trade. These are typically validated on a single event class; our contribution is orthogonal — a comparative-validation system in which such models can be placed side by side on a common benchmark.</w:t>
      </w:r>
    </w:p>
    <w:p>
      <w:pPr>
        <w:spacing w:after="20" w:line="240"/>
        <w:ind w:firstLine="220"/>
        <w:jc w:val="both"/>
      </w:pPr>
      <w:r>
        <w:rPr>
          <w:rFonts w:ascii="Palatino Linotype" w:cs="Palatino Linotype" w:eastAsia="Palatino Linotype" w:hAnsi="Palatino Linotype"/>
          <w:b/>
          <w:bCs/>
          <w:sz w:val="19"/>
          <w:szCs w:val="19"/>
        </w:rPr>
        <w:t xml:space="preserve">Financial contagion.</w:t>
      </w:r>
      <w:r>
        <w:rPr>
          <w:rFonts w:ascii="Palatino Linotype" w:cs="Palatino Linotype" w:eastAsia="Palatino Linotype" w:hAnsi="Palatino Linotype"/>
          <w:sz w:val="19"/>
          <w:szCs w:val="19"/>
        </w:rPr>
        <w:t xml:space="preserve"> Network propagation is well studied in finance: Allen &amp; Gale [13], Gai &amp; Kapadia [14], Battiston et al. [15], Elliott et al. [16], Haldane &amp; May [17], Acemoglu et al. [20]. We borrow the threshold-cascade idea (a node enters “distress” when losses exceed an endogenous threshold) but apply it to production output.</w:t>
      </w:r>
    </w:p>
    <w:p>
      <w:pPr>
        <w:spacing w:after="20" w:line="240"/>
        <w:ind w:firstLine="220"/>
        <w:jc w:val="both"/>
      </w:pPr>
      <w:r>
        <w:rPr>
          <w:rFonts w:ascii="Palatino Linotype" w:cs="Palatino Linotype" w:eastAsia="Palatino Linotype" w:hAnsi="Palatino Linotype"/>
          <w:b/>
          <w:bCs/>
          <w:sz w:val="19"/>
          <w:szCs w:val="19"/>
        </w:rPr>
        <w:t xml:space="preserve">Epidemic dynamics and forecast validation.</w:t>
      </w:r>
      <w:r>
        <w:rPr>
          <w:rFonts w:ascii="Palatino Linotype" w:cs="Palatino Linotype" w:eastAsia="Palatino Linotype" w:hAnsi="Palatino Linotype"/>
          <w:sz w:val="19"/>
          <w:szCs w:val="19"/>
        </w:rPr>
        <w:t xml:space="preserve"> Transferring SEIR schemes to economics accelerated after COVID (Eichenbaum et al. [18]; Coquidé et al. [19]; Starnini et al. [21]). A separate relevant thread is comparative-validation methodology — forecasting competitions and temporal-graph benchmarks have repeatedly found simple methods indistinguishable from complex ones; our result reproduces this pattern in a new domain.</w:t>
      </w:r>
    </w:p>
    <w:p>
      <w:pPr>
        <w:spacing w:after="20" w:line="240"/>
        <w:ind w:firstLine="220"/>
        <w:jc w:val="both"/>
      </w:pPr>
      <w:r>
        <w:rPr>
          <w:rFonts w:ascii="Palatino Linotype" w:cs="Palatino Linotype" w:eastAsia="Palatino Linotype" w:hAnsi="Palatino Linotype"/>
          <w:b/>
          <w:bCs/>
          <w:sz w:val="19"/>
          <w:szCs w:val="19"/>
        </w:rPr>
        <w:t xml:space="preserve">Niche.</w:t>
      </w:r>
      <w:r>
        <w:rPr>
          <w:rFonts w:ascii="Palatino Linotype" w:cs="Palatino Linotype" w:eastAsia="Palatino Linotype" w:hAnsi="Palatino Linotype"/>
          <w:sz w:val="19"/>
          <w:szCs w:val="19"/>
        </w:rPr>
        <w:t xml:space="preserve"> To the best of our knowledge, no published work combines SEIRS dynamics, the bullwhip effect and hysteresis in one engine and, more importantly, validates a cascade model simultaneously on magnitude, trajectory shape and spatial reach across dozens of heterogeneous events with a full statistical layer. The gap this work closes is not “yet another model” but “how to compare such models honestly.”</w:t>
      </w:r>
    </w:p>
    <w:p>
      <w:pPr>
        <w:keepNext/>
        <w:spacing w:after="70" w:before="200"/>
      </w:pPr>
      <w:r>
        <w:rPr>
          <w:rFonts w:ascii="Palatino Linotype" w:cs="Palatino Linotype" w:eastAsia="Palatino Linotype" w:hAnsi="Palatino Linotype"/>
          <w:b/>
          <w:bCs/>
          <w:color w:val="1A1A1A"/>
          <w:sz w:val="21"/>
          <w:szCs w:val="21"/>
        </w:rPr>
        <w:t xml:space="preserve">3. Data</w:t>
      </w:r>
    </w:p>
    <w:p>
      <w:pPr>
        <w:keepNext/>
        <w:spacing w:after="50" w:before="140"/>
      </w:pPr>
      <w:r>
        <w:rPr>
          <w:rFonts w:ascii="Palatino Linotype" w:cs="Palatino Linotype" w:eastAsia="Palatino Linotype" w:hAnsi="Palatino Linotype"/>
          <w:b/>
          <w:bCs/>
          <w:i/>
          <w:iCs/>
          <w:color w:val="1A1A1A"/>
          <w:sz w:val="19"/>
          <w:szCs w:val="19"/>
        </w:rPr>
        <w:t xml:space="preserve">3.1. Event benchmark (N=27)</w:t>
      </w:r>
    </w:p>
    <w:p>
      <w:pPr>
        <w:spacing w:after="20" w:line="240"/>
        <w:ind w:firstLine="220"/>
        <w:jc w:val="both"/>
      </w:pPr>
      <w:r>
        <w:rPr>
          <w:rFonts w:ascii="Palatino Linotype" w:cs="Palatino Linotype" w:eastAsia="Palatino Linotype" w:hAnsi="Palatino Linotype"/>
          <w:sz w:val="19"/>
          <w:szCs w:val="19"/>
        </w:rPr>
        <w:t xml:space="preserve">Each event specifies: the shocked node (country:industry or chokepoint), source-side shock magnitude, duration, forcing shape, horizon; and an observed target — the global/industry output loss from a primary source. The full list is Appendix A. Categories: earthquakes, floods, fires, lockdowns, energy crises, port congestion, chokepoint blockages, trade controls, strikes, financial crisis.</w:t>
      </w:r>
    </w:p>
    <w:p>
      <w:pPr>
        <w:spacing w:after="20" w:line="240"/>
        <w:ind w:firstLine="220"/>
        <w:jc w:val="both"/>
      </w:pPr>
      <w:r>
        <w:rPr>
          <w:rFonts w:ascii="Palatino Linotype" w:cs="Palatino Linotype" w:eastAsia="Palatino Linotype" w:hAnsi="Palatino Linotype"/>
          <w:b/>
          <w:bCs/>
          <w:sz w:val="19"/>
          <w:szCs w:val="19"/>
        </w:rPr>
        <w:t xml:space="preserve">Source-tier protocol</w:t>
      </w:r>
      <w:r>
        <w:rPr>
          <w:rFonts w:ascii="Palatino Linotype" w:cs="Palatino Linotype" w:eastAsia="Palatino Linotype" w:hAnsi="Palatino Linotype"/>
          <w:sz w:val="19"/>
          <w:szCs w:val="19"/>
        </w:rPr>
        <w:t xml:space="preserve"> (written): tier 1 — industry statistical agencies (OICA, JAMA, VDA, SIA) and official macro data (central banks, IMF, IMF PortWatch [26]); tier 2 — company filings; tier 3 (Reuters/Bloomberg/Nikkei) only when quoting tier 1/2. Rules: peak is distinguished from residual; derived numbers are tagged [DERIVED]; the node is assigned by where production occurred.</w:t>
      </w:r>
    </w:p>
    <w:p>
      <w:pPr>
        <w:spacing w:after="20" w:line="240"/>
        <w:ind w:firstLine="220"/>
        <w:jc w:val="both"/>
      </w:pPr>
      <w:r>
        <w:rPr>
          <w:rFonts w:ascii="Palatino Linotype" w:cs="Palatino Linotype" w:eastAsia="Palatino Linotype" w:hAnsi="Palatino Linotype"/>
          <w:b/>
          <w:bCs/>
          <w:sz w:val="19"/>
          <w:szCs w:val="19"/>
        </w:rPr>
        <w:t xml:space="preserve">Negative control</w:t>
      </w:r>
      <w:r>
        <w:rPr>
          <w:rFonts w:ascii="Palatino Linotype" w:cs="Palatino Linotype" w:eastAsia="Palatino Linotype" w:hAnsi="Palatino Linotype"/>
          <w:sz w:val="19"/>
          <w:szCs w:val="19"/>
        </w:rPr>
        <w:t xml:space="preserve">: events without a clean primary number (Philips 2000 fire) or with structural graph gaps (Boeing 737 MAX) are documented as not-wired with the reason, not fitted. The base contains 17+ near-misses — events with little actual cascade: the model is penalized for false positives.</w:t>
      </w:r>
    </w:p>
    <w:p>
      <w:pPr>
        <w:keepNext/>
        <w:spacing w:after="50" w:before="140"/>
      </w:pPr>
      <w:r>
        <w:rPr>
          <w:rFonts w:ascii="Palatino Linotype" w:cs="Palatino Linotype" w:eastAsia="Palatino Linotype" w:hAnsi="Palatino Linotype"/>
          <w:b/>
          <w:bCs/>
          <w:i/>
          <w:iCs/>
          <w:color w:val="1A1A1A"/>
          <w:sz w:val="19"/>
          <w:szCs w:val="19"/>
        </w:rPr>
        <w:t xml:space="preserve">3.2. Trajectory targets and graph</w:t>
      </w:r>
    </w:p>
    <w:p>
      <w:pPr>
        <w:spacing w:after="20" w:line="240"/>
        <w:ind w:firstLine="220"/>
        <w:jc w:val="both"/>
      </w:pPr>
      <w:r>
        <w:rPr>
          <w:rFonts w:ascii="Palatino Linotype" w:cs="Palatino Linotype" w:eastAsia="Palatino Linotype" w:hAnsi="Palatino Linotype"/>
          <w:sz w:val="19"/>
          <w:szCs w:val="19"/>
        </w:rPr>
        <w:t xml:space="preserve">For Track B we collect: peak output loss of the shocked sector in the source country (measured targets only, status “null” with a reason where no source exists); weeks-to-peak and weeks-to-90%-recovery; 62 rows of “event → affected node → onset week” each primary-sourced. Graph v2: 41 nodes (12 countries × 6 industries + 5 chokepoints), weights cross-checked against OECD ICIO [25] (Spearman 0.79–0.84). Graph v3: 405 nodes (81 economies × 5 sectors) directly from the ICIO 2019 tables.</w:t>
      </w:r>
    </w:p>
    <w:p>
      <w:pPr>
        <w:keepNext/>
        <w:spacing w:after="70" w:before="200"/>
      </w:pPr>
      <w:r>
        <w:rPr>
          <w:rFonts w:ascii="Palatino Linotype" w:cs="Palatino Linotype" w:eastAsia="Palatino Linotype" w:hAnsi="Palatino Linotype"/>
          <w:b/>
          <w:bCs/>
          <w:color w:val="1A1A1A"/>
          <w:sz w:val="21"/>
          <w:szCs w:val="21"/>
        </w:rPr>
        <w:t xml:space="preserve">4. Models</w:t>
      </w:r>
    </w:p>
    <w:p>
      <w:pPr>
        <w:spacing w:after="20" w:line="240"/>
        <w:ind w:firstLine="220"/>
        <w:jc w:val="both"/>
      </w:pPr>
      <w:r>
        <w:rPr>
          <w:rFonts w:ascii="Palatino Linotype" w:cs="Palatino Linotype" w:eastAsia="Palatino Linotype" w:hAnsi="Palatino Linotype"/>
          <w:b/>
          <w:bCs/>
          <w:sz w:val="19"/>
          <w:szCs w:val="19"/>
        </w:rPr>
        <w:t xml:space="preserve">GEDS (SEIRS-Bullwhip-Hysteresis)</w:t>
      </w:r>
      <w:r>
        <w:rPr>
          <w:rFonts w:ascii="Palatino Linotype" w:cs="Palatino Linotype" w:eastAsia="Palatino Linotype" w:hAnsi="Palatino Linotype"/>
          <w:sz w:val="19"/>
          <w:szCs w:val="19"/>
        </w:rPr>
        <w:t xml:space="preserve"> — the proposed engine: each node moves through Susceptible → Exposed (an inventory buffer absorbs incoming shortfall) → Infected (output loss with nonlinear amplification) → Recovered (hysteresis). </w:t>
      </w:r>
      <w:r>
        <w:rPr>
          <w:rFonts w:ascii="Palatino Linotype" w:cs="Palatino Linotype" w:eastAsia="Palatino Linotype" w:hAnsi="Palatino Linotype"/>
          <w:b/>
          <w:bCs/>
          <w:sz w:val="19"/>
          <w:szCs w:val="19"/>
        </w:rPr>
        <w:t xml:space="preserve">Baselines</w:t>
      </w:r>
      <w:r>
        <w:rPr>
          <w:rFonts w:ascii="Palatino Linotype" w:cs="Palatino Linotype" w:eastAsia="Palatino Linotype" w:hAnsi="Palatino Linotype"/>
          <w:sz w:val="19"/>
          <w:szCs w:val="19"/>
        </w:rPr>
        <w:t xml:space="preserve"> (zero fitted parameters): a Leontief input–output model, linear network diffusion, a naive mean predictor. The configuration is deterministic (stochastic_sigma = 0, seed = 0) and pinned by a golden test.</w:t>
      </w:r>
    </w:p>
    <w:p>
      <w:pPr>
        <w:keepNext/>
        <w:spacing w:after="50" w:before="140"/>
      </w:pPr>
      <w:r>
        <w:rPr>
          <w:rFonts w:ascii="Palatino Linotype" w:cs="Palatino Linotype" w:eastAsia="Palatino Linotype" w:hAnsi="Palatino Linotype"/>
          <w:b/>
          <w:bCs/>
          <w:i/>
          <w:iCs/>
          <w:color w:val="1A1A1A"/>
          <w:sz w:val="19"/>
          <w:szCs w:val="19"/>
        </w:rPr>
        <w:t xml:space="preserve">4.1. Formal engine specification</w:t>
      </w:r>
    </w:p>
    <w:p>
      <w:pPr>
        <w:spacing w:after="20" w:line="240"/>
        <w:ind w:firstLine="220"/>
        <w:jc w:val="both"/>
      </w:pPr>
      <w:r>
        <w:rPr>
          <w:rFonts w:ascii="Palatino Linotype" w:cs="Palatino Linotype" w:eastAsia="Palatino Linotype" w:hAnsi="Palatino Linotype"/>
          <w:sz w:val="19"/>
          <w:szCs w:val="19"/>
        </w:rPr>
        <w:t xml:space="preserve">Let s_i(t) ∈ [0, 1] be the shock level of node i in week t and D_eff the effective-dependency matrix. The per-step update (vectorized over nodes). Incoming pressure with the bullwhip effect, where β_i = bullwhip factor (1.25 in state E):</w:t>
      </w:r>
    </w:p>
    <w:p>
      <w:pPr>
        <w:spacing w:after="40" w:before="40"/>
        <w:jc w:val="center"/>
      </w:pPr>
      <w:r>
        <w:rPr>
          <w:rFonts w:ascii="Palatino Linotype" w:cs="Palatino Linotype" w:eastAsia="Palatino Linotype" w:hAnsi="Palatino Linotype"/>
          <w:sz w:val="18"/>
          <w:szCs w:val="18"/>
        </w:rPr>
        <w:t xml:space="preserve">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β</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Σ</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 D</w:t>
      </w:r>
      <w:r>
        <w:rPr>
          <w:rFonts w:ascii="Palatino Linotype" w:cs="Palatino Linotype" w:eastAsia="Palatino Linotype" w:hAnsi="Palatino Linotype"/>
          <w:sz w:val="18"/>
          <w:szCs w:val="18"/>
          <w:vertAlign w:val="subscript"/>
        </w:rPr>
        <w:t xml:space="preserve">eff</w:t>
      </w:r>
      <w:r>
        <w:rPr>
          <w:rFonts w:ascii="Palatino Linotype" w:cs="Palatino Linotype" w:eastAsia="Palatino Linotype" w:hAnsi="Palatino Linotype"/>
          <w:sz w:val="18"/>
          <w:szCs w:val="18"/>
        </w:rPr>
        <w:t xml:space="preserve">[i,j] · s</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(1)</w:t>
      </w:r>
    </w:p>
    <w:p>
      <w:pPr>
        <w:spacing w:after="20" w:line="240"/>
        <w:ind w:firstLine="220"/>
        <w:jc w:val="both"/>
      </w:pPr>
      <w:r>
        <w:rPr>
          <w:rFonts w:ascii="Palatino Linotype" w:cs="Palatino Linotype" w:eastAsia="Palatino Linotype" w:hAnsi="Palatino Linotype"/>
          <w:sz w:val="19"/>
          <w:szCs w:val="19"/>
        </w:rPr>
        <w:t xml:space="preserve">Impact impulse (δ — propagation decay, V — vulnerability, A — nonlinear amplification, ρ — resilience, the (1−s) factor giving saturation):</w:t>
      </w:r>
    </w:p>
    <w:p>
      <w:pPr>
        <w:spacing w:after="40" w:before="40"/>
        <w:jc w:val="center"/>
      </w:pPr>
      <w:r>
        <w:rPr>
          <w:rFonts w:ascii="Palatino Linotype" w:cs="Palatino Linotype" w:eastAsia="Palatino Linotype" w:hAnsi="Palatino Linotype"/>
          <w:sz w:val="18"/>
          <w:szCs w:val="18"/>
        </w:rPr>
        <w:t xml:space="preserve">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δ</w:t>
      </w:r>
      <w:r>
        <w:rPr>
          <w:rFonts w:ascii="Palatino Linotype" w:cs="Palatino Linotype" w:eastAsia="Palatino Linotype" w:hAnsi="Palatino Linotype"/>
          <w:sz w:val="18"/>
          <w:szCs w:val="18"/>
        </w:rPr>
        <w:t xml:space="preserve"> · 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V</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A</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(2)</w:t>
      </w:r>
    </w:p>
    <w:p>
      <w:pPr>
        <w:spacing w:after="20" w:line="240"/>
        <w:ind w:firstLine="220"/>
        <w:jc w:val="both"/>
      </w:pPr>
      <w:r>
        <w:rPr>
          <w:rFonts w:ascii="Palatino Linotype" w:cs="Palatino Linotype" w:eastAsia="Palatino Linotype" w:hAnsi="Palatino Linotype"/>
          <w:sz w:val="19"/>
          <w:szCs w:val="19"/>
        </w:rPr>
        <w:t xml:space="preserve">Weekly recovery rate tied to the node delay delay_i (8 weeks reference):</w:t>
      </w:r>
    </w:p>
    <w:p>
      <w:pPr>
        <w:spacing w:after="40" w:before="40"/>
        <w:jc w:val="center"/>
      </w:pPr>
      <w:r>
        <w:rPr>
          <w:rFonts w:ascii="Palatino Linotype" w:cs="Palatino Linotype" w:eastAsia="Palatino Linotype" w:hAnsi="Palatino Linotype"/>
          <w:i/>
          <w:iCs/>
          <w:sz w:val="18"/>
          <w:szCs w:val="18"/>
        </w:rPr>
        <w:t xml:space="preserve">γ</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clip( recovery_rate · (8 / max(delay</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0.5)), 0, 0.95 )</w:t>
      </w:r>
      <w:r>
        <w:rPr>
          <w:rFonts w:ascii="Palatino Linotype" w:cs="Palatino Linotype" w:eastAsia="Palatino Linotype" w:hAnsi="Palatino Linotype"/>
          <w:sz w:val="18"/>
          <w:szCs w:val="18"/>
        </w:rPr>
        <w:t xml:space="preserve">    (3)</w:t>
      </w:r>
    </w:p>
    <w:p>
      <w:pPr>
        <w:spacing w:after="20" w:line="240"/>
        <w:ind w:firstLine="220"/>
        <w:jc w:val="both"/>
      </w:pPr>
      <w:r>
        <w:rPr>
          <w:rFonts w:ascii="Palatino Linotype" w:cs="Palatino Linotype" w:eastAsia="Palatino Linotype" w:hAnsi="Palatino Linotype"/>
          <w:sz w:val="19"/>
          <w:szCs w:val="19"/>
        </w:rPr>
        <w:t xml:space="preserve">State transition, where x_i is the event's external forcing (shape step/linear/exp/ramp), r_i = γ_i·s_i for unforced nodes, ε — noise (ε ≡ 0 in the benchmark):</w:t>
      </w:r>
    </w:p>
    <w:p>
      <w:pPr>
        <w:spacing w:after="40" w:before="40"/>
        <w:jc w:val="center"/>
      </w:pPr>
      <w:r>
        <w:rPr>
          <w:rFonts w:ascii="Palatino Linotype" w:cs="Palatino Linotype" w:eastAsia="Palatino Linotype" w:hAnsi="Palatino Linotype"/>
          <w:sz w:val="18"/>
          <w:szCs w:val="18"/>
        </w:rPr>
        <w:t xml:space="preserve">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 clip( max( x</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r</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ε</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0, 1 )</w:t>
      </w:r>
      <w:r>
        <w:rPr>
          <w:rFonts w:ascii="Palatino Linotype" w:cs="Palatino Linotype" w:eastAsia="Palatino Linotype" w:hAnsi="Palatino Linotype"/>
          <w:sz w:val="18"/>
          <w:szCs w:val="18"/>
        </w:rPr>
        <w:t xml:space="preserve">    (4)</w:t>
      </w:r>
    </w:p>
    <w:p>
      <w:pPr>
        <w:spacing w:after="20" w:line="240"/>
        <w:ind w:firstLine="220"/>
        <w:jc w:val="both"/>
      </w:pPr>
      <w:r>
        <w:rPr>
          <w:rFonts w:ascii="Palatino Linotype" w:cs="Palatino Linotype" w:eastAsia="Palatino Linotype" w:hAnsi="Palatino Linotype"/>
          <w:sz w:val="19"/>
          <w:szCs w:val="19"/>
        </w:rPr>
        <w:t xml:space="preserve">Observed node output loss (η — elasticity, f_i — the R-state hysteresis floor, ≥ 0.30 while recovering):</w:t>
      </w:r>
    </w:p>
    <w:p>
      <w:pPr>
        <w:spacing w:after="40" w:before="40"/>
        <w:jc w:val="center"/>
      </w:pPr>
      <w:r>
        <w:rPr>
          <w:rFonts w:ascii="Palatino Linotype" w:cs="Palatino Linotype" w:eastAsia="Palatino Linotype" w:hAnsi="Palatino Linotype"/>
          <w:sz w:val="18"/>
          <w:szCs w:val="18"/>
        </w:rPr>
        <w:t xml:space="preserve">L</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max(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η</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f</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w:t>
      </w:r>
      <w:r>
        <w:rPr>
          <w:rFonts w:ascii="Palatino Linotype" w:cs="Palatino Linotype" w:eastAsia="Palatino Linotype" w:hAnsi="Palatino Linotype"/>
          <w:sz w:val="18"/>
          <w:szCs w:val="18"/>
        </w:rPr>
        <w:t xml:space="preserve">    (5)</w:t>
      </w:r>
    </w:p>
    <w:p>
      <w:pPr>
        <w:spacing w:after="20" w:line="240"/>
        <w:ind w:firstLine="220"/>
        <w:jc w:val="both"/>
      </w:pPr>
      <w:r>
        <w:rPr>
          <w:rFonts w:ascii="Palatino Linotype" w:cs="Palatino Linotype" w:eastAsia="Palatino Linotype" w:hAnsi="Palatino Linotype"/>
          <w:sz w:val="19"/>
          <w:szCs w:val="19"/>
        </w:rPr>
        <w:t xml:space="preserve">Scalar cascade-severity index (c_i — node centrality, d_i — input exposure):</w:t>
      </w:r>
    </w:p>
    <w:p>
      <w:pPr>
        <w:spacing w:after="40" w:before="40"/>
        <w:jc w:val="center"/>
      </w:pPr>
      <w:r>
        <w:rPr>
          <w:rFonts w:ascii="Palatino Linotype" w:cs="Palatino Linotype" w:eastAsia="Palatino Linotype" w:hAnsi="Palatino Linotype"/>
          <w:sz w:val="18"/>
          <w:szCs w:val="18"/>
        </w:rPr>
        <w:t xml:space="preserve">CSI(t) = (1/N) · Σ</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c</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d</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(6)</w:t>
      </w:r>
    </w:p>
    <w:p>
      <w:pPr>
        <w:spacing w:after="20" w:line="240"/>
        <w:ind w:firstLine="220"/>
        <w:jc w:val="both"/>
      </w:pPr>
      <w:r>
        <w:rPr>
          <w:rFonts w:ascii="Palatino Linotype" w:cs="Palatino Linotype" w:eastAsia="Palatino Linotype" w:hAnsi="Palatino Linotype"/>
          <w:b/>
          <w:bCs/>
          <w:sz w:val="19"/>
          <w:szCs w:val="19"/>
        </w:rPr>
        <w:t xml:space="preserve">SEIRS states.</w:t>
      </w:r>
      <w:r>
        <w:rPr>
          <w:rFonts w:ascii="Palatino Linotype" w:cs="Palatino Linotype" w:eastAsia="Palatino Linotype" w:hAnsi="Palatino Linotype"/>
          <w:sz w:val="19"/>
          <w:szCs w:val="19"/>
        </w:rPr>
        <w:t xml:space="preserve"> A node moves S→E when incoming pressure crosses a trigger (an inventory buffer of depth inventory_scale absorbs the shortfall), E→I, I→R as the shock recedes; in R it holds for delay_i weeks with output floor f_i, then returns to S — this is the hysteresis. </w:t>
      </w:r>
      <w:r>
        <w:rPr>
          <w:rFonts w:ascii="Palatino Linotype" w:cs="Palatino Linotype" w:eastAsia="Palatino Linotype" w:hAnsi="Palatino Linotype"/>
          <w:b/>
          <w:bCs/>
          <w:sz w:val="19"/>
          <w:szCs w:val="19"/>
        </w:rPr>
        <w:t xml:space="preserve">Five calibrated parameters</w:t>
      </w:r>
      <w:r>
        <w:rPr>
          <w:rFonts w:ascii="Palatino Linotype" w:cs="Palatino Linotype" w:eastAsia="Palatino Linotype" w:hAnsi="Palatino Linotype"/>
          <w:sz w:val="19"/>
          <w:szCs w:val="19"/>
        </w:rPr>
        <w:t xml:space="preserve"> θ = (amplification_mu, bullwhip_factor, recovery_rate, inventory_scale, distress_base); all other quantities are structural or fixed. Baselines formally: Leontief solves an (I−A)^{-1}-type loss equilibrium; linear diffusion iterates s(t+1)=s(t)+δ·(W·s(t)) with no saturation or recovery; the naive predictor returns the sample mean.</w:t>
      </w:r>
    </w:p>
    <w:p>
      <w:pPr>
        <w:keepNext/>
        <w:spacing w:after="70" w:before="200"/>
      </w:pPr>
      <w:r>
        <w:rPr>
          <w:rFonts w:ascii="Palatino Linotype" w:cs="Palatino Linotype" w:eastAsia="Palatino Linotype" w:hAnsi="Palatino Linotype"/>
          <w:b/>
          <w:bCs/>
          <w:color w:val="1A1A1A"/>
          <w:sz w:val="21"/>
          <w:szCs w:val="21"/>
        </w:rPr>
        <w:t xml:space="preserve">5. Validation Methods</w:t>
      </w:r>
    </w:p>
    <w:p>
      <w:pPr>
        <w:keepNext/>
        <w:spacing w:after="50" w:before="140"/>
      </w:pPr>
      <w:r>
        <w:rPr>
          <w:rFonts w:ascii="Palatino Linotype" w:cs="Palatino Linotype" w:eastAsia="Palatino Linotype" w:hAnsi="Palatino Linotype"/>
          <w:b/>
          <w:bCs/>
          <w:i/>
          <w:iCs/>
          <w:color w:val="1A1A1A"/>
          <w:sz w:val="19"/>
          <w:szCs w:val="19"/>
        </w:rPr>
        <w:t xml:space="preserve">5.1. Three axes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A (magnitude)</w:t>
      </w:r>
      <w:r>
        <w:rPr>
          <w:rFonts w:ascii="Palatino Linotype" w:cs="Palatino Linotype" w:eastAsia="Palatino Linotype" w:hAnsi="Palatino Linotype"/>
          <w:sz w:val="19"/>
          <w:szCs w:val="19"/>
        </w:rPr>
        <w:t xml:space="preserve">: predicted vs. observed global/industry loss, N=27; MAE, RMSE, Spearman.</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B (shape)</w:t>
      </w:r>
      <w:r>
        <w:rPr>
          <w:rFonts w:ascii="Palatino Linotype" w:cs="Palatino Linotype" w:eastAsia="Palatino Linotype" w:hAnsi="Palatino Linotype"/>
          <w:sz w:val="19"/>
          <w:szCs w:val="19"/>
        </w:rPr>
        <w:t xml:space="preserve">: the shocked node's own trajectory: peak magnitude (n=5), weeks-to-peak (n=15), weeks-to-90%-recovery (n=11).</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Spatial</w:t>
      </w:r>
      <w:r>
        <w:rPr>
          <w:rFonts w:ascii="Palatino Linotype" w:cs="Palatino Linotype" w:eastAsia="Palatino Linotype" w:hAnsi="Palatino Linotype"/>
          <w:sz w:val="19"/>
          <w:szCs w:val="19"/>
        </w:rPr>
        <w:t xml:space="preserve">: the share of historically-hit nodes the cascade reaches (recall), and the rank correlation of onset order.</w:t>
      </w:r>
    </w:p>
    <w:p>
      <w:pPr>
        <w:keepNext/>
        <w:spacing w:after="50" w:before="140"/>
      </w:pPr>
      <w:r>
        <w:rPr>
          <w:rFonts w:ascii="Palatino Linotype" w:cs="Palatino Linotype" w:eastAsia="Palatino Linotype" w:hAnsi="Palatino Linotype"/>
          <w:b/>
          <w:bCs/>
          <w:i/>
          <w:iCs/>
          <w:color w:val="1A1A1A"/>
          <w:sz w:val="19"/>
          <w:szCs w:val="19"/>
        </w:rPr>
        <w:t xml:space="preserve">5.2. Statistical layer</w:t>
      </w:r>
    </w:p>
    <w:p>
      <w:pPr>
        <w:spacing w:after="20" w:line="240"/>
        <w:ind w:firstLine="220"/>
        <w:jc w:val="both"/>
      </w:pPr>
      <w:r>
        <w:rPr>
          <w:rFonts w:ascii="Palatino Linotype" w:cs="Palatino Linotype" w:eastAsia="Palatino Linotype" w:hAnsi="Palatino Linotype"/>
          <w:sz w:val="19"/>
          <w:szCs w:val="19"/>
        </w:rPr>
        <w:t xml:space="preserve">At N=27 the question “is the difference significant?” comes first. All procedures are deterministic (seed 20260718) and resample whole events.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Bootstrap CIs</w:t>
      </w:r>
      <w:r>
        <w:rPr>
          <w:rFonts w:ascii="Palatino Linotype" w:cs="Palatino Linotype" w:eastAsia="Palatino Linotype" w:hAnsi="Palatino Linotype"/>
          <w:sz w:val="19"/>
          <w:szCs w:val="19"/>
        </w:rPr>
        <w:t xml:space="preserve"> per metric: 10,000 resamples, percentile 95% intervals.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Paired bootstrap of differences</w:t>
      </w:r>
      <w:r>
        <w:rPr>
          <w:rFonts w:ascii="Palatino Linotype" w:cs="Palatino Linotype" w:eastAsia="Palatino Linotype" w:hAnsi="Palatino Linotype"/>
          <w:sz w:val="19"/>
          <w:szCs w:val="19"/>
        </w:rPr>
        <w:t xml:space="preserve">: shared resample indices for both models.</w:t>
      </w:r>
    </w:p>
    <w:p>
      <w:pPr>
        <w:spacing w:after="20" w:line="240"/>
        <w:ind w:firstLine="220"/>
        <w:jc w:val="both"/>
      </w:pPr>
      <w:r>
        <w:rPr>
          <w:rFonts w:ascii="Palatino Linotype" w:cs="Palatino Linotype" w:eastAsia="Palatino Linotype" w:hAnsi="Palatino Linotype"/>
          <w:b/>
          <w:bCs/>
          <w:sz w:val="19"/>
          <w:szCs w:val="19"/>
        </w:rPr>
        <w:t xml:space="preserve">Sign-flip permutation test</w:t>
      </w:r>
      <w:r>
        <w:rPr>
          <w:rFonts w:ascii="Palatino Linotype" w:cs="Palatino Linotype" w:eastAsia="Palatino Linotype" w:hAnsi="Palatino Linotype"/>
          <w:sz w:val="19"/>
          <w:szCs w:val="19"/>
        </w:rPr>
        <w:t xml:space="preserve"> for a pair (A, B) with per-event absolute errors e_A, e_B: statistic T = |mean(|e_A|−|e_B|)|; under H0 each difference's sign is flipped independently (20,000 permutations); two-sided p:</w:t>
      </w:r>
    </w:p>
    <w:p>
      <w:pPr>
        <w:spacing w:after="40" w:before="40"/>
        <w:jc w:val="center"/>
      </w:pPr>
      <w:r>
        <w:rPr>
          <w:rFonts w:ascii="Palatino Linotype" w:cs="Palatino Linotype" w:eastAsia="Palatino Linotype" w:hAnsi="Palatino Linotype"/>
          <w:sz w:val="18"/>
          <w:szCs w:val="18"/>
        </w:rPr>
        <w:t xml:space="preserve">p = (1 + #{ T* ≥ T }) / (20000 + 1)</w:t>
      </w:r>
      <w:r>
        <w:rPr>
          <w:rFonts w:ascii="Palatino Linotype" w:cs="Palatino Linotype" w:eastAsia="Palatino Linotype" w:hAnsi="Palatino Linotype"/>
          <w:sz w:val="18"/>
          <w:szCs w:val="18"/>
        </w:rPr>
        <w:t xml:space="preserve">    (7)</w:t>
      </w:r>
    </w:p>
    <w:p>
      <w:pPr>
        <w:spacing w:after="20" w:line="240"/>
        <w:ind w:firstLine="220"/>
        <w:jc w:val="both"/>
      </w:pPr>
      <w:r>
        <w:rPr>
          <w:rFonts w:ascii="Palatino Linotype" w:cs="Palatino Linotype" w:eastAsia="Palatino Linotype" w:hAnsi="Palatino Linotype"/>
          <w:b/>
          <w:bCs/>
          <w:sz w:val="19"/>
          <w:szCs w:val="19"/>
        </w:rPr>
        <w:t xml:space="preserve">Power analysis / minimum detectable effect</w:t>
      </w:r>
      <w:r>
        <w:rPr>
          <w:rFonts w:ascii="Palatino Linotype" w:cs="Palatino Linotype" w:eastAsia="Palatino Linotype" w:hAnsi="Palatino Linotype"/>
          <w:sz w:val="19"/>
          <w:szCs w:val="19"/>
        </w:rPr>
        <w:t xml:space="preserve">: for paired differences d_i, the smallest mean MAE difference detectable at 80% power and α=0.05, and the N required for the observed difference:</w:t>
      </w:r>
    </w:p>
    <w:p>
      <w:pPr>
        <w:spacing w:after="40" w:before="40"/>
        <w:jc w:val="center"/>
      </w:pPr>
      <w:r>
        <w:rPr>
          <w:rFonts w:ascii="Palatino Linotype" w:cs="Palatino Linotype" w:eastAsia="Palatino Linotype" w:hAnsi="Palatino Linotype"/>
          <w:sz w:val="18"/>
          <w:szCs w:val="18"/>
        </w:rPr>
        <w:t xml:space="preserve">MDE = (z</w:t>
      </w:r>
      <w:r>
        <w:rPr>
          <w:rFonts w:ascii="Palatino Linotype" w:cs="Palatino Linotype" w:eastAsia="Palatino Linotype" w:hAnsi="Palatino Linotype"/>
          <w:sz w:val="18"/>
          <w:szCs w:val="18"/>
          <w:vertAlign w:val="subscript"/>
        </w:rPr>
        <w:t xml:space="preserve">0.975</w:t>
      </w:r>
      <w:r>
        <w:rPr>
          <w:rFonts w:ascii="Palatino Linotype" w:cs="Palatino Linotype" w:eastAsia="Palatino Linotype" w:hAnsi="Palatino Linotype"/>
          <w:sz w:val="18"/>
          <w:szCs w:val="18"/>
        </w:rPr>
        <w:t xml:space="preserve"> + z</w:t>
      </w:r>
      <w:r>
        <w:rPr>
          <w:rFonts w:ascii="Palatino Linotype" w:cs="Palatino Linotype" w:eastAsia="Palatino Linotype" w:hAnsi="Palatino Linotype"/>
          <w:sz w:val="18"/>
          <w:szCs w:val="18"/>
          <w:vertAlign w:val="subscript"/>
        </w:rPr>
        <w:t xml:space="preserve">0.80</w:t>
      </w:r>
      <w:r>
        <w:rPr>
          <w:rFonts w:ascii="Palatino Linotype" w:cs="Palatino Linotype" w:eastAsia="Palatino Linotype" w:hAnsi="Palatino Linotype"/>
          <w:sz w:val="18"/>
          <w:szCs w:val="18"/>
        </w:rPr>
        <w:t xml:space="preserve">) · sd(d) / √N ,   N</w:t>
      </w:r>
      <w:r>
        <w:rPr>
          <w:rFonts w:ascii="Palatino Linotype" w:cs="Palatino Linotype" w:eastAsia="Palatino Linotype" w:hAnsi="Palatino Linotype"/>
          <w:sz w:val="18"/>
          <w:szCs w:val="18"/>
          <w:vertAlign w:val="subscript"/>
        </w:rPr>
        <w:t xml:space="preserve">req</w:t>
      </w:r>
      <w:r>
        <w:rPr>
          <w:rFonts w:ascii="Palatino Linotype" w:cs="Palatino Linotype" w:eastAsia="Palatino Linotype" w:hAnsi="Palatino Linotype"/>
          <w:sz w:val="18"/>
          <w:szCs w:val="18"/>
        </w:rPr>
        <w:t xml:space="preserve"> = ( 2.80 · sd(d) / |mean(d)| )</w:t>
      </w:r>
      <w:r>
        <w:rPr>
          <w:rFonts w:ascii="Palatino Linotype" w:cs="Palatino Linotype" w:eastAsia="Palatino Linotype" w:hAnsi="Palatino Linotype"/>
          <w:sz w:val="18"/>
          <w:szCs w:val="18"/>
          <w:vertAlign w:val="superscript"/>
        </w:rPr>
        <w:t xml:space="preserve">2</w:t>
      </w:r>
      <w:r>
        <w:rPr>
          <w:rFonts w:ascii="Palatino Linotype" w:cs="Palatino Linotype" w:eastAsia="Palatino Linotype" w:hAnsi="Palatino Linotype"/>
          <w:sz w:val="18"/>
          <w:szCs w:val="18"/>
        </w:rPr>
        <w:t xml:space="preserve">    (8)</w:t>
      </w:r>
    </w:p>
    <w:p>
      <w:pPr>
        <w:spacing w:after="20" w:line="240"/>
        <w:ind w:firstLine="220"/>
        <w:jc w:val="both"/>
      </w:pPr>
      <w:r>
        <w:rPr>
          <w:rFonts w:ascii="Palatino Linotype" w:cs="Palatino Linotype" w:eastAsia="Palatino Linotype" w:hAnsi="Palatino Linotype"/>
          <w:b/>
          <w:bCs/>
          <w:sz w:val="19"/>
          <w:szCs w:val="19"/>
        </w:rPr>
        <w:t xml:space="preserve">Out-of-sample check</w:t>
      </w:r>
      <w:r>
        <w:rPr>
          <w:rFonts w:ascii="Palatino Linotype" w:cs="Palatino Linotype" w:eastAsia="Palatino Linotype" w:hAnsi="Palatino Linotype"/>
          <w:sz w:val="19"/>
          <w:szCs w:val="19"/>
        </w:rPr>
        <w:t xml:space="preserve">: leave-one-out cross-validation with per-fold differential-evolution recalibration of the five parameters — the held-out event never influences its own parameters; the baselines have no parameters.</w:t>
      </w:r>
    </w:p>
    <w:p>
      <w:pPr>
        <w:keepNext/>
        <w:spacing w:after="50" w:before="140"/>
      </w:pPr>
      <w:r>
        <w:rPr>
          <w:rFonts w:ascii="Palatino Linotype" w:cs="Palatino Linotype" w:eastAsia="Palatino Linotype" w:hAnsi="Palatino Linotype"/>
          <w:b/>
          <w:bCs/>
          <w:i/>
          <w:iCs/>
          <w:color w:val="1A1A1A"/>
          <w:sz w:val="19"/>
          <w:szCs w:val="19"/>
        </w:rPr>
        <w:t xml:space="preserve">5.3. Pre-registration of mechanism changes</w:t>
      </w:r>
    </w:p>
    <w:p>
      <w:pPr>
        <w:spacing w:after="20" w:line="240"/>
        <w:ind w:firstLine="220"/>
        <w:jc w:val="both"/>
      </w:pPr>
      <w:r>
        <w:rPr>
          <w:rFonts w:ascii="Palatino Linotype" w:cs="Palatino Linotype" w:eastAsia="Palatino Linotype" w:hAnsi="Palatino Linotype"/>
          <w:sz w:val="19"/>
          <w:szCs w:val="19"/>
        </w:rPr>
        <w:t xml:space="preserve">Every engine change passes a pre-declared gate. Negative outcomes are preserved in the project record: inventory absorption, per-node recovery, hysteresis-floor removal — all three improved in-sample metrics and were rejected by the out-of-sample gate. The adopted change (ramp, §6.3) passed the same protocol.</w:t>
      </w:r>
    </w:p>
    <w:p>
      <w:pPr>
        <w:keepNext/>
        <w:spacing w:after="70" w:before="200"/>
      </w:pPr>
      <w:r>
        <w:rPr>
          <w:rFonts w:ascii="Palatino Linotype" w:cs="Palatino Linotype" w:eastAsia="Palatino Linotype" w:hAnsi="Palatino Linotype"/>
          <w:b/>
          <w:bCs/>
          <w:color w:val="1A1A1A"/>
          <w:sz w:val="21"/>
          <w:szCs w:val="21"/>
        </w:rPr>
        <w:t xml:space="preserve">6. Results</w:t>
      </w:r>
    </w:p>
    <w:p>
      <w:pPr>
        <w:keepNext/>
        <w:spacing w:after="50" w:before="140"/>
      </w:pPr>
      <w:r>
        <w:rPr>
          <w:rFonts w:ascii="Palatino Linotype" w:cs="Palatino Linotype" w:eastAsia="Palatino Linotype" w:hAnsi="Palatino Linotype"/>
          <w:b/>
          <w:bCs/>
          <w:i/>
          <w:iCs/>
          <w:color w:val="1A1A1A"/>
          <w:sz w:val="19"/>
          <w:szCs w:val="19"/>
        </w:rPr>
        <w:t xml:space="preserve">6.1. Track A: magnitude parity</w:t>
      </w:r>
    </w:p>
    <w:p>
      <w:pPr>
        <w:spacing w:after="20" w:line="240"/>
        <w:ind w:firstLine="220"/>
        <w:jc w:val="both"/>
      </w:pPr>
      <w:r>
        <w:rPr>
          <w:rFonts w:ascii="Palatino Linotype" w:cs="Palatino Linotype" w:eastAsia="Palatino Linotype" w:hAnsi="Palatino Linotype"/>
          <w:sz w:val="19"/>
          <w:szCs w:val="19"/>
        </w:rPr>
        <w:t xml:space="preserve">The four models at default parameters are in Table 1. Point estimates suggest a hierarchy, but none of the six pairwise MAE differences is significant (Figure 1): GEDS−Leontief ΔMAE +0.0074 [−0.0031; +0.0218], p=0.42; Leontief−naive −0.0040 [−0.0083; +0.0005], p=0.09; the rest p=0.21–0.97. </w:t>
      </w:r>
      <w:r>
        <w:rPr>
          <w:rFonts w:ascii="Palatino Linotype" w:cs="Palatino Linotype" w:eastAsia="Palatino Linotype" w:hAnsi="Palatino Linotype"/>
          <w:b/>
          <w:bCs/>
          <w:sz w:val="19"/>
          <w:szCs w:val="19"/>
        </w:rPr>
        <w:t xml:space="preserve">At N=27 single-number validation does not rank these models.</w:t>
      </w:r>
      <w:r>
        <w:rPr>
          <w:rFonts w:ascii="Palatino Linotype" w:cs="Palatino Linotype" w:eastAsia="Palatino Linotype" w:hAnsi="Palatino Linotype"/>
          <w:sz w:val="19"/>
          <w:szCs w:val="19"/>
        </w:rPr>
        <w:t xml:space="preserve"> The only significant Track-A signals are rank-based: linear diffusion (0.72 [0.40; 0.91]) and GEDS (0.45 [0.06; 0.73]).</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1.</w:t>
      </w:r>
      <w:r>
        <w:rPr>
          <w:rFonts w:ascii="Palatino Linotype" w:cs="Palatino Linotype" w:eastAsia="Palatino Linotype" w:hAnsi="Palatino Linotype"/>
          <w:sz w:val="16"/>
          <w:szCs w:val="16"/>
        </w:rPr>
        <w:t xml:space="preserve"> Four models at default parameters; MAE / RMSE / Spearman with 95% bootstrap CIs (N=27).</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400"/>
        <w:gridCol w:w="2079"/>
        <w:gridCol w:w="2079"/>
        <w:gridCol w:w="2080"/>
      </w:tblGrid>
      <w:tr>
        <w:trPr>
          <w:tblHeader/>
        </w:trPr>
        <w:tc>
          <w:tcPr>
            <w:tcW w:type="dxa" w:w="34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 [95% CI]</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RMSE [95% CI]</w:t>
            </w:r>
          </w:p>
        </w:tc>
        <w:tc>
          <w:tcPr>
            <w:tcW w:type="dxa" w:w="208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(SEIRS-b.-h.)</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 [0.011; 0.040]</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0.0464 [0.021; 0.067]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 [0.06; 0.73]</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 [0.008; 0.028]</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0.0313 [0.011; 0.046]</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 [−0.10; 0.67]</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 [0.009; 0.029]</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0.0317 [0.012; 0.049]</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0.72 [0.40; 0.91]</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 [0.013; 0.031]</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0.0324 [0.014; 0.047]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 (constant)</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54317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1.</w:t>
      </w:r>
      <w:r>
        <w:rPr>
          <w:rFonts w:ascii="Palatino Linotype" w:cs="Palatino Linotype" w:eastAsia="Palatino Linotype" w:hAnsi="Palatino Linotype"/>
          <w:sz w:val="16"/>
          <w:szCs w:val="16"/>
        </w:rPr>
        <w:t xml:space="preserve"> Pairwise MAE differences (first minus second) with 95% paired-bootstrap CIs and two-sided permutation p. All six pairs cross zero.</w:t>
      </w:r>
    </w:p>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81965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2.</w:t>
      </w:r>
      <w:r>
        <w:rPr>
          <w:rFonts w:ascii="Palatino Linotype" w:cs="Palatino Linotype" w:eastAsia="Palatino Linotype" w:hAnsi="Palatino Linotype"/>
          <w:sz w:val="16"/>
          <w:szCs w:val="16"/>
        </w:rPr>
        <w:t xml:space="preserve"> Predicted vs. observed per model, N=27; the dashed line is perfect agreement.</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6.2. Track B: the trajectory axes separate the models</w:t>
      </w:r>
    </w:p>
    <w:p>
      <w:pPr>
        <w:spacing w:after="20" w:line="240"/>
        <w:ind w:firstLine="220"/>
        <w:jc w:val="both"/>
      </w:pPr>
      <w:r>
        <w:rPr>
          <w:rFonts w:ascii="Palatino Linotype" w:cs="Palatino Linotype" w:eastAsia="Palatino Linotype" w:hAnsi="Palatino Linotype"/>
          <w:sz w:val="19"/>
          <w:szCs w:val="19"/>
        </w:rPr>
        <w:t xml:space="preserve">Neither Leontief nor the naive mean produces trajectories; linear diffusion gives a curve with no recovery. Only GEDS produces the full “peak → decay → recovery” shape — and on these axes the result is significant (Table 2). Recovery-duration ranking (0.88) is the strongest result; both timing CIs exclude zero. The magnitude axis at n=5 is statistically empty and is stated only as a limitation.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2.</w:t>
      </w:r>
      <w:r>
        <w:rPr>
          <w:rFonts w:ascii="Palatino Linotype" w:cs="Palatino Linotype" w:eastAsia="Palatino Linotype" w:hAnsi="Palatino Linotype"/>
          <w:sz w:val="16"/>
          <w:szCs w:val="16"/>
        </w:rPr>
        <w:t xml:space="preserve"> Track B: node-level trajectory-shape axes (the only axes that only GEDS produces).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900"/>
        <w:gridCol w:w="3138"/>
        <w:gridCol w:w="20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Axis</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w:t>
            </w:r>
          </w:p>
        </w:tc>
        <w:tc>
          <w:tcPr>
            <w:tcW w:type="dxa" w:w="313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Node peak magnitude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0.60 [−1.00; 1.00] — not claimed</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0.43</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peak</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0.69 [0.20; 0.87]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7.1 wk</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90% recovery</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0.88 [0.56; 0.99]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8.5 wk</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b/>
          <w:bCs/>
          <w:sz w:val="19"/>
          <w:szCs w:val="19"/>
        </w:rPr>
        <w:t xml:space="preserve">Robustness to single points (jackknife).</w:t>
      </w:r>
      <w:r>
        <w:rPr>
          <w:rFonts w:ascii="Palatino Linotype" w:cs="Palatino Linotype" w:eastAsia="Palatino Linotype" w:hAnsi="Palatino Linotype"/>
          <w:sz w:val="19"/>
          <w:szCs w:val="19"/>
        </w:rPr>
        <w:t xml:space="preserve"> A leave-one-out test (drop each event and recompute Spearman) refutes the concern that a correlation rests on one point: for weeks-to-peak the full estimate is 0.691, LOO range [0.619; 0.790]; for recovery the full estimate is 0.883, LOO range [0.843; 0.917]. No single event drops the correlation below 0.62 and 0.84 respectively.</w:t>
      </w:r>
    </w:p>
    <w:p>
      <w:pPr>
        <w:keepNext/>
        <w:spacing w:after="50" w:before="140"/>
      </w:pPr>
      <w:r>
        <w:rPr>
          <w:rFonts w:ascii="Palatino Linotype" w:cs="Palatino Linotype" w:eastAsia="Palatino Linotype" w:hAnsi="Palatino Linotype"/>
          <w:b/>
          <w:bCs/>
          <w:i/>
          <w:iCs/>
          <w:color w:val="1A1A1A"/>
          <w:sz w:val="19"/>
          <w:szCs w:val="19"/>
        </w:rPr>
        <w:t xml:space="preserve">6.3. Mechanistic finding: why timing was at chance</w:t>
      </w:r>
    </w:p>
    <w:p>
      <w:pPr>
        <w:spacing w:after="20" w:line="240"/>
        <w:ind w:firstLine="220"/>
        <w:jc w:val="both"/>
      </w:pPr>
      <w:r>
        <w:rPr>
          <w:rFonts w:ascii="Palatino Linotype" w:cs="Palatino Linotype" w:eastAsia="Palatino Linotype" w:hAnsi="Palatino Linotype"/>
          <w:sz w:val="19"/>
          <w:szCs w:val="19"/>
        </w:rPr>
        <w:t xml:space="preserve">Before this work weeks-to-peak scored Spearman 0.07 [−0.43; +0.53] — chance level. Forensics localized the cause: all three implemented forcing shapes (step, linear, exp) peak at onset, and the ratchet state update renders a declining forcing as a rectangular pulse — 12 of 15 predicted peaks fell on week 0. The engine lacked a “slowly rising shock” shape, which droughts, congestion and demand collapses require.</w:t>
      </w:r>
    </w:p>
    <w:p>
      <w:pPr>
        <w:spacing w:after="20" w:line="240"/>
        <w:ind w:firstLine="220"/>
        <w:jc w:val="both"/>
      </w:pPr>
      <w:r>
        <w:rPr>
          <w:rFonts w:ascii="Palatino Linotype" w:cs="Palatino Linotype" w:eastAsia="Palatino Linotype" w:hAnsi="Palatino Linotype"/>
          <w:sz w:val="19"/>
          <w:szCs w:val="19"/>
        </w:rPr>
        <w:t xml:space="preserve">The fix: a ramp shape (linear rise) was added and four events were moved to it </w:t>
      </w:r>
      <w:r>
        <w:rPr>
          <w:rFonts w:ascii="Palatino Linotype" w:cs="Palatino Linotype" w:eastAsia="Palatino Linotype" w:hAnsi="Palatino Linotype"/>
          <w:b/>
          <w:bCs/>
          <w:sz w:val="19"/>
          <w:szCs w:val="19"/>
        </w:rPr>
        <w:t xml:space="preserve">by real-world mechanism, declared before running</w:t>
      </w:r>
      <w:r>
        <w:rPr>
          <w:rFonts w:ascii="Palatino Linotype" w:cs="Palatino Linotype" w:eastAsia="Palatino Linotype" w:hAnsi="Palatino Linotype"/>
          <w:sz w:val="19"/>
          <w:szCs w:val="19"/>
        </w:rPr>
        <w:t xml:space="preserve">. The pre-registered four-criterion gate passed: weeks-to-peak Spearman 0.07 → 0.69; other axes drop 0.00; benchmark cost +0.0001 MAE; untouched events bit-identical (Figure 3).</w:t>
      </w:r>
    </w:p>
    <w:p>
      <w:pPr>
        <w:sectPr>
          <w:type w:val="continuous"/>
          <w:pgSz w:w="11906" w:h="16838" w:orient="portrait"/>
          <w:pgMar w:top="1134" w:right="1134" w:bottom="1134" w:left="1134" w:header="708" w:footer="708" w:gutter="0"/>
          <w:pgNumType/>
          <w:cols w:space="454" w:num="2" w:equalWidth="true"/>
          <w:docGrid w:linePitch="360"/>
        </w:sectPr>
      </w:pPr>
    </w:p>
    <w:p>
      <w:pPr>
        <w:spacing w:after="30" w:before="6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9570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3.</w:t>
      </w:r>
      <w:r>
        <w:rPr>
          <w:rFonts w:ascii="Palatino Linotype" w:cs="Palatino Linotype" w:eastAsia="Palatino Linotype" w:hAnsi="Palatino Linotype"/>
          <w:sz w:val="16"/>
          <w:szCs w:val="16"/>
        </w:rPr>
        <w:t xml:space="preserve"> Weeks to peak: predicted vs. observed before (open) and after (filled) adopting the ramp shape; Spearman 0.07 → 0.69.</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6.4. Out-of-sample check and power analysis</w:t>
      </w:r>
    </w:p>
    <w:p>
      <w:pPr>
        <w:spacing w:after="20" w:line="240"/>
        <w:ind w:firstLine="220"/>
        <w:jc w:val="both"/>
      </w:pPr>
      <w:r>
        <w:rPr>
          <w:rFonts w:ascii="Palatino Linotype" w:cs="Palatino Linotype" w:eastAsia="Palatino Linotype" w:hAnsi="Palatino Linotype"/>
          <w:sz w:val="19"/>
          <w:szCs w:val="19"/>
        </w:rPr>
        <w:t xml:space="preserve">27-fold LOO with per-fold DE recalibration: MAE 0.0192, RMSE 0.0422, Pearson 0.25, Spearman 0.56, R² −0.70. Paired vs. Leontief: ΔMAE +0.0024 [−0.0073; +0.0167], p=0.89 — parity holds out-of-sample too. Two systematic misses are stated honestly: Chi-Chi 1999 (0.19 vs. 0.005 — the source node does not heal within the horizon) and the 2008–09 crisis (0.051 vs. 0.130 — a demand collapse is structurally unlike the supply cascades the engine models).</w:t>
      </w:r>
    </w:p>
    <w:p>
      <w:pPr>
        <w:spacing w:after="20" w:line="240"/>
        <w:ind w:firstLine="220"/>
        <w:jc w:val="both"/>
      </w:pPr>
      <w:r>
        <w:rPr>
          <w:rFonts w:ascii="Palatino Linotype" w:cs="Palatino Linotype" w:eastAsia="Palatino Linotype" w:hAnsi="Palatino Linotype"/>
          <w:b/>
          <w:bCs/>
          <w:sz w:val="19"/>
          <w:szCs w:val="19"/>
        </w:rPr>
        <w:t xml:space="preserve">Parity is a power limit, not a proven equivalence</w:t>
      </w:r>
      <w:r>
        <w:rPr>
          <w:rFonts w:ascii="Palatino Linotype" w:cs="Palatino Linotype" w:eastAsia="Palatino Linotype" w:hAnsi="Palatino Linotype"/>
          <w:sz w:val="19"/>
          <w:szCs w:val="19"/>
        </w:rPr>
        <w:t xml:space="preserve"> (Table 3). At N=27 the minimum detectable effect for GEDS/Leontief is 0.0184, whereas the observed differences ~0.004–0.007 lie below resolution. Resolving the observed difference would require ≈166 events. This turns the null into a bounded, actionable statement and a target for the dataset.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3.</w:t>
      </w:r>
      <w:r>
        <w:rPr>
          <w:rFonts w:ascii="Palatino Linotype" w:cs="Palatino Linotype" w:eastAsia="Palatino Linotype" w:hAnsi="Palatino Linotype"/>
          <w:sz w:val="16"/>
          <w:szCs w:val="16"/>
        </w:rPr>
        <w:t xml:space="preserve"> Power analysis: minimum detectable effect at N=27 and the N required for the observed difference.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800"/>
        <w:gridCol w:w="1800"/>
        <w:gridCol w:w="18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Pair</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obs. ΔMAE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MDE at N=27</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 to detect</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Leontief</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≈166</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linear diffusion</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0.0149</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≈119</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vs naive</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≈69</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6.5. Spatial: network completeness, not tuning</w:t>
      </w:r>
    </w:p>
    <w:p>
      <w:pPr>
        <w:spacing w:after="20" w:line="240"/>
        <w:ind w:firstLine="220"/>
        <w:jc w:val="both"/>
      </w:pPr>
      <w:r>
        <w:rPr>
          <w:rFonts w:ascii="Palatino Linotype" w:cs="Palatino Linotype" w:eastAsia="Palatino Linotype" w:hAnsi="Palatino Linotype"/>
          <w:sz w:val="19"/>
          <w:szCs w:val="19"/>
        </w:rPr>
        <w:t xml:space="preserve">Same engine, same shocks — only the graph changes (Table 4). The dense graph closes exactly the gaps the hand-built one could not express (the Renesas-fire cascade into foreign automotive: 0/4 → 3/4). Onset order on reached nodes ranks well (Spearman 0.79). No parameter changed: </w:t>
      </w:r>
      <w:r>
        <w:rPr>
          <w:rFonts w:ascii="Palatino Linotype" w:cs="Palatino Linotype" w:eastAsia="Palatino Linotype" w:hAnsi="Palatino Linotype"/>
          <w:b/>
          <w:bCs/>
          <w:sz w:val="19"/>
          <w:szCs w:val="19"/>
        </w:rPr>
        <w:t xml:space="preserve">the binding constraint is network completeness, not the fineness of the dynamics</w:t>
      </w:r>
      <w:r>
        <w:rPr>
          <w:rFonts w:ascii="Palatino Linotype" w:cs="Palatino Linotype" w:eastAsia="Palatino Linotype" w:hAnsi="Palatino Linotype"/>
          <w:sz w:val="19"/>
          <w:szCs w:val="19"/>
        </w:rPr>
        <w:t xml:space="preserve"> (Figure 4).</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4.</w:t>
      </w:r>
      <w:r>
        <w:rPr>
          <w:rFonts w:ascii="Palatino Linotype" w:cs="Palatino Linotype" w:eastAsia="Palatino Linotype" w:hAnsi="Palatino Linotype"/>
          <w:sz w:val="16"/>
          <w:szCs w:val="16"/>
        </w:rPr>
        <w:t xml:space="preserve"> Cascade spatial reach: hand-built graph v2 vs. the ICIO graph v3.</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2000"/>
        <w:gridCol w:w="380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Graph</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Nodes</w:t>
            </w:r>
          </w:p>
        </w:tc>
        <w:tc>
          <w:tcPr>
            <w:tcW w:type="dxa" w:w="3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Spatial recall</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hand-built</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36</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0.29 (10/35)</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OECD ICIO 2019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405</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0.79 (30/38)</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952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4.</w:t>
      </w:r>
      <w:r>
        <w:rPr>
          <w:rFonts w:ascii="Palatino Linotype" w:cs="Palatino Linotype" w:eastAsia="Palatino Linotype" w:hAnsi="Palatino Linotype"/>
          <w:sz w:val="16"/>
          <w:szCs w:val="16"/>
        </w:rPr>
        <w:t xml:space="preserve"> Cascade spatial reach per event: share of historically-hit nodes reached on the hand-built graph v2 (open) and the ICIO graph v3 (filled).</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6.6. Component ablation: what of the complex model actually works</w:t>
      </w:r>
    </w:p>
    <w:p>
      <w:pPr>
        <w:spacing w:after="20" w:line="240"/>
        <w:ind w:firstLine="220"/>
        <w:jc w:val="both"/>
      </w:pPr>
      <w:r>
        <w:rPr>
          <w:rFonts w:ascii="Palatino Linotype" w:cs="Palatino Linotype" w:eastAsia="Palatino Linotype" w:hAnsi="Palatino Linotype"/>
          <w:sz w:val="19"/>
          <w:szCs w:val="19"/>
        </w:rPr>
        <w:t xml:space="preserve">The standard question of a multi-component model is which parts carry weight. A component ablation (N=27, each component disabled in turn — Table 5) answers it, and the headline of that answer is that the table is NOT a ranking of components. Not one of the six differences is distinguishable from zero: every 95% CI spans zero and every Holm-adjusted p equals 1.00. Each |ΔMAE| here (0.0076 at most) is smaller than the benchmark's own minimum detectable effect (0.018 at 80% power). At N=27 this benchmark cannot tell any engine component apart from any other. The point estimates do all point one way — the SEIRS state machine (−0.0076) and the hysteresis floor (−0.0074) cost accuracy, and the 0.0002 gap between them means essentially the entire cost of SEIRS is the R-state floor rather than the S/E/I transitions — but that cannot be claimed as a result: the signal is below the resolution of the set. Correction note: in the previous version the −SEIS row read 0.0242 with ΔMAE exactly 0.0000. That was a code defect (the seis_enabled flag did not take effect because update_seis was called unconditionally), not a property of the model. The true ablation is 0.0166; the §6.1 headline numbers are unaffected.</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5.</w:t>
      </w:r>
      <w:r>
        <w:rPr>
          <w:rFonts w:ascii="Palatino Linotype" w:cs="Palatino Linotype" w:eastAsia="Palatino Linotype" w:hAnsi="Palatino Linotype"/>
          <w:sz w:val="16"/>
          <w:szCs w:val="16"/>
        </w:rPr>
        <w:t xml:space="preserve"> Component ablation of the engine (N=27): each component's contribution to MAE.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1400"/>
        <w:gridCol w:w="3400"/>
        <w:gridCol w:w="12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Variant</w:t>
            </w:r>
          </w:p>
        </w:tc>
        <w:tc>
          <w:tcPr>
            <w:tcW w:type="dxa" w:w="1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3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ΔMAE vs. full [95% CI]</w:t>
            </w:r>
          </w:p>
        </w:tc>
        <w:tc>
          <w:tcPr>
            <w:tcW w:type="dxa" w:w="1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 (Holm)</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Full engine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−SEIS (no state machine)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−0.0076 [−0.0206,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−R-state floor</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0.0169</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 [−0.0200,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pure linear diffusion</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 [−0.0182,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+per-node recovery</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0.0233</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−0.0009 [−0.0029,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−adaptive rerouting</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 [−0.0001,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 (β = 1)</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+0.0023 [−0.0009, +0.0079]</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6.7. Parameter sensitivity and identifiability</w:t>
      </w:r>
    </w:p>
    <w:p>
      <w:pPr>
        <w:spacing w:after="20" w:line="240"/>
        <w:ind w:firstLine="220"/>
        <w:jc w:val="both"/>
      </w:pPr>
      <w:r>
        <w:rPr>
          <w:rFonts w:ascii="Palatino Linotype" w:cs="Palatino Linotype" w:eastAsia="Palatino Linotype" w:hAnsi="Palatino Linotype"/>
          <w:sz w:val="19"/>
          <w:szCs w:val="19"/>
        </w:rPr>
        <w:t xml:space="preserve">A variance-based Sobol sensitivity analysis (1536 engine runs, output mean_industry_loss_MAE, N=27 — Table 6) asks whether the five parameters are identifiable. Two parameters carry the output variance — recovery_rate (ST 0.62) and inventory_scale (ST 0.59) — and their low first-order indices (S1 0.39 and 0.42) against high total effects signal strong interaction between them (ST sum ≈ 1.30 ≫ 1); two parameters are negligible and can be fixed, and one is minor. Thus three of five parameters are effectively non-identifiable individually, with the fitting freedom concentrated in a strongly-coupled (recovery_rate, inventory_scale) pair. This independently corroborates §6.6 (the model is over-complex relative to what the N=27 data can constrain) and explains why per-fold recalibration (§6.4) so easily masks structural edits. (MCMC at 350 steps did not converge, r̂=2.03; Bayesian intervals are left to a longer future run.)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6.</w:t>
      </w:r>
      <w:r>
        <w:rPr>
          <w:rFonts w:ascii="Palatino Linotype" w:cs="Palatino Linotype" w:eastAsia="Palatino Linotype" w:hAnsi="Palatino Linotype"/>
          <w:sz w:val="16"/>
          <w:szCs w:val="16"/>
        </w:rPr>
        <w:t xml:space="preserve"> Sobol sensitivity indices (N=27): total effect ST and first-order S1 for the five parameters.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238"/>
        <w:gridCol w:w="1600"/>
        <w:gridCol w:w="1600"/>
        <w:gridCol w:w="3200"/>
      </w:tblGrid>
      <w:tr>
        <w:trPr>
          <w:tblHeader/>
        </w:trPr>
        <w:tc>
          <w:tcPr>
            <w:tcW w:type="dxa" w:w="3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Parameter</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ST</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S1</w:t>
            </w:r>
          </w:p>
        </w:tc>
        <w:tc>
          <w:tcPr>
            <w:tcW w:type="dxa" w:w="3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Reading</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recovery_rate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0.392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inventory_scale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0.592</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0.416</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bullwhip_factor</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0.011</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minor</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amplification_mu</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distress_base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6.8. Structure versus tuning: the dense graph with a single parameter</w:t>
      </w:r>
    </w:p>
    <w:p>
      <w:pPr>
        <w:spacing w:after="20" w:line="240"/>
        <w:ind w:firstLine="220"/>
        <w:jc w:val="both"/>
      </w:pPr>
      <w:r>
        <w:rPr>
          <w:rFonts w:ascii="Palatino Linotype" w:cs="Palatino Linotype" w:eastAsia="Palatino Linotype" w:hAnsi="Palatino Linotype"/>
          <w:sz w:val="19"/>
          <w:szCs w:val="19"/>
        </w:rPr>
        <w:t xml:space="preserve">Section 6.5 showed the ICIO graph reaches far more of the observed cascade, but its magnitudes were never scored: v3's parameters are uncalibrated structural priors and its predictions run roughly four times hot. Is that a shape error or a scale error?</w:t>
      </w:r>
    </w:p>
    <w:p>
      <w:pPr>
        <w:spacing w:after="20" w:line="240"/>
        <w:ind w:firstLine="220"/>
        <w:jc w:val="both"/>
      </w:pPr>
      <w:r>
        <w:rPr>
          <w:rFonts w:ascii="Palatino Linotype" w:cs="Palatino Linotype" w:eastAsia="Palatino Linotype" w:hAnsi="Palatino Linotype"/>
          <w:sz w:val="19"/>
          <w:szCs w:val="19"/>
        </w:rPr>
        <w:t xml:space="preserve">It is scale. At default parameters the raw v3 ranks events markedly better than the fully calibrated v2 (Spearman 0.80 vs. 0.44) while systematically over-predicting (mean prediction 0.090 vs. observed 0.023). We added a </w:t>
      </w:r>
      <w:r>
        <w:rPr>
          <w:rFonts w:ascii="Palatino Linotype" w:cs="Palatino Linotype" w:eastAsia="Palatino Linotype" w:hAnsi="Palatino Linotype"/>
          <w:b/>
          <w:bCs/>
          <w:sz w:val="19"/>
          <w:szCs w:val="19"/>
        </w:rPr>
        <w:t xml:space="preserve">single</w:t>
      </w:r>
      <w:r>
        <w:rPr>
          <w:rFonts w:ascii="Palatino Linotype" w:cs="Palatino Linotype" w:eastAsia="Palatino Linotype" w:hAnsi="Palatino Linotype"/>
          <w:sz w:val="19"/>
          <w:szCs w:val="19"/>
        </w:rPr>
        <w:t xml:space="preserve"> free quantity — a global scale factor fitted </w:t>
      </w:r>
      <w:r>
        <w:rPr>
          <w:rFonts w:ascii="Palatino Linotype" w:cs="Palatino Linotype" w:eastAsia="Palatino Linotype" w:hAnsi="Palatino Linotype"/>
          <w:b/>
          <w:bCs/>
          <w:sz w:val="19"/>
          <w:szCs w:val="19"/>
        </w:rPr>
        <w:t xml:space="preserve">out-of-sample</w:t>
      </w:r>
      <w:r>
        <w:rPr>
          <w:rFonts w:ascii="Palatino Linotype" w:cs="Palatino Linotype" w:eastAsia="Palatino Linotype" w:hAnsi="Palatino Linotype"/>
          <w:sz w:val="19"/>
          <w:szCs w:val="19"/>
        </w:rPr>
        <w:t xml:space="preserve"> (leave-one-out: k is least-squares estimated on the other N−1 events and applied to the held-out one). Chokepoint events have no v3 representation, so all models are scored on the same 24 events (Table 7). The mean LOO factor k ≈ 0.26 is stable across folds.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The dense ICIO graph with one out-of-sample scale factor versus the calibrated v2 engine and the zero-parameter baselines (same 24 events).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1900"/>
        <w:gridCol w:w="1950"/>
        <w:gridCol w:w="195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1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Free params</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 LOO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+0.331</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+0.707</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0.0227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v2 (calibrated)</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raw (no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0.0677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+0.802</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This is the first configuration to lead </w:t>
      </w:r>
      <w:r>
        <w:rPr>
          <w:rFonts w:ascii="Palatino Linotype" w:cs="Palatino Linotype" w:eastAsia="Palatino Linotype" w:hAnsi="Palatino Linotype"/>
          <w:b/>
          <w:bCs/>
          <w:sz w:val="19"/>
          <w:szCs w:val="19"/>
        </w:rPr>
        <w:t xml:space="preserve">every metric at once</w:t>
      </w:r>
      <w:r>
        <w:rPr>
          <w:rFonts w:ascii="Palatino Linotype" w:cs="Palatino Linotype" w:eastAsia="Palatino Linotype" w:hAnsi="Palatino Linotype"/>
          <w:sz w:val="19"/>
          <w:szCs w:val="19"/>
        </w:rPr>
        <w:t xml:space="preserve"> — achieved with one parameter instead of five. </w:t>
      </w:r>
      <w:r>
        <w:rPr>
          <w:rFonts w:ascii="Palatino Linotype" w:cs="Palatino Linotype" w:eastAsia="Palatino Linotype" w:hAnsi="Palatino Linotype"/>
          <w:b/>
          <w:bCs/>
          <w:sz w:val="19"/>
          <w:szCs w:val="19"/>
        </w:rPr>
        <w:t xml:space="preserve">What we do not claim:</w:t>
      </w:r>
      <w:r>
        <w:rPr>
          <w:rFonts w:ascii="Palatino Linotype" w:cs="Palatino Linotype" w:eastAsia="Palatino Linotype" w:hAnsi="Palatino Linotype"/>
          <w:sz w:val="19"/>
          <w:szCs w:val="19"/>
        </w:rPr>
        <w:t xml:space="preserve"> no advantage is significant — against Leontief ΔMAE −0.0049 (p = 0.34), against linear diffusion −0.0052 (p = 0.50), against the naive mean −0.0094 (p = 0.06), against v2 −0.0132 (p = 0.17). The §6.1 parity finding is therefore not overturned but confirmed once more, now on the best available configuration: even it does not separate from the baselines at this N — exactly what the §6.4 power analysis predicts.</w:t>
      </w:r>
    </w:p>
    <w:p>
      <w:pPr>
        <w:spacing w:after="20" w:line="240"/>
        <w:ind w:firstLine="220"/>
        <w:jc w:val="both"/>
      </w:pPr>
      <w:r>
        <w:rPr>
          <w:rFonts w:ascii="Palatino Linotype" w:cs="Palatino Linotype" w:eastAsia="Palatino Linotype" w:hAnsi="Palatino Linotype"/>
          <w:sz w:val="19"/>
          <w:szCs w:val="19"/>
        </w:rPr>
        <w:t xml:space="preserve">The substantive meaning lies elsewhere. Replacing the hand-built graph with measured input–output structure buys more on magnitude than calibrating five dynamics parameters on the hand-built graph (0.0133 vs. 0.0266) — the magnitude-axis counterpart of the spatial result in §6.5. Both point the same way: </w:t>
      </w:r>
      <w:r>
        <w:rPr>
          <w:rFonts w:ascii="Palatino Linotype" w:cs="Palatino Linotype" w:eastAsia="Palatino Linotype" w:hAnsi="Palatino Linotype"/>
          <w:b/>
          <w:bCs/>
          <w:sz w:val="19"/>
          <w:szCs w:val="19"/>
        </w:rPr>
        <w:t xml:space="preserve">the information carried by network completeness and accuracy is not substitutable by parameter tuning.</w:t>
      </w:r>
    </w:p>
    <w:p>
      <w:pPr>
        <w:keepNext/>
        <w:spacing w:after="50" w:before="140"/>
      </w:pPr>
      <w:r>
        <w:rPr>
          <w:rFonts w:ascii="Palatino Linotype" w:cs="Palatino Linotype" w:eastAsia="Palatino Linotype" w:hAnsi="Palatino Linotype"/>
          <w:b/>
          <w:bCs/>
          <w:i/>
          <w:iCs/>
          <w:color w:val="1A1A1A"/>
          <w:sz w:val="19"/>
          <w:szCs w:val="19"/>
        </w:rPr>
        <w:t xml:space="preserve">6.9. Full v3 calibration: five parameters are significantly WORSE than one</w:t>
      </w:r>
    </w:p>
    <w:p>
      <w:pPr>
        <w:spacing w:after="20" w:line="240"/>
        <w:ind w:firstLine="220"/>
        <w:jc w:val="both"/>
      </w:pPr>
      <w:r>
        <w:rPr>
          <w:rFonts w:ascii="Palatino Linotype" w:cs="Palatino Linotype" w:eastAsia="Palatino Linotype" w:hAnsi="Palatino Linotype"/>
          <w:sz w:val="19"/>
          <w:szCs w:val="19"/>
        </w:rPr>
        <w:t xml:space="preserve">The five-parameter LOO calibration on the dense graph (24 folds, per-fold differential evolution) was run and returns an unexpected result — Table 7. Pairwise, one parameter against five: ΔMAE = −0.0148, 95% CI [−0.0292, −0.0031], raw p = 0.037. But this comparison belongs to a family of five tests against a common reference, and after Holm correction the adjusted p is 0.18: zero differences in that family are significant. A previous version of this work called this 'the only statistically significant model difference anywhere'; the correct statement is that on the magnitude axis this work contains no difference that survives correction for multiplicity. The point estimate nonetheless points the same way as everything else: on a 405-node graph with ~23 training events per fold, four extra degrees of freedom do not pay for themselves. It converges with §6.6 (no ablation is significant), §6.7 (three of five parameters pinned to their prior bounds, one varying 35-fold when a single event is dropped) and §6.1 (insufficient power) — four independent methods reaching the same over-parameterization verdict.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Full out-of-sample comparison on the dense v3 graph (24 folds, leave-one-out).</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600"/>
        <w:gridCol w:w="1800"/>
        <w:gridCol w:w="20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Configuration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Params</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single LOO-fitted 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five per-fold DE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0.0281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+0.565</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 five calibrated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 diffusion / naive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 / 0.0185 / 0.0227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6.10. The dense graph closes both structural walls</w:t>
      </w:r>
    </w:p>
    <w:p>
      <w:pPr>
        <w:spacing w:after="20" w:line="240"/>
        <w:ind w:firstLine="220"/>
        <w:jc w:val="both"/>
      </w:pPr>
      <w:r>
        <w:rPr>
          <w:rFonts w:ascii="Palatino Linotype" w:cs="Palatino Linotype" w:eastAsia="Palatino Linotype" w:hAnsi="Palatino Linotype"/>
          <w:sz w:val="19"/>
          <w:szCs w:val="19"/>
        </w:rPr>
        <w:t xml:space="preserve">The two systematic misses declared unsolved in §6.4 — and resistant to three pre-registered mechanism experiments — nearly vanish on the dense graph (out-of-sample, LOO-DE): Chi-Chi 1999 absolute error 0.188 → 0.014 (13.6×) and the 2008–09 crisis 0.079 → 0.028 (2.9×). This changes the diagnosis of both. Chi-Chi failed to heal, and the 2008–09 crisis was under-predicted, not because the engine lacked a mechanism but because a hand-built 41-node graph could not express the paths along which those shocks actually travelled. The three attempts to fix the dynamics (§5.3) failed precisely because they treated the wrong cause. </w:t>
      </w:r>
      <w:r>
        <w:rPr>
          <w:rFonts w:ascii="Palatino Linotype" w:cs="Palatino Linotype" w:eastAsia="Palatino Linotype" w:hAnsi="Palatino Linotype"/>
          <w:b/>
          <w:bCs/>
          <w:sz w:val="19"/>
          <w:szCs w:val="19"/>
        </w:rPr>
        <w:t xml:space="preserve">Both walls were network-coverage problems, not dynamics problems</w:t>
      </w:r>
      <w:r>
        <w:rPr>
          <w:rFonts w:ascii="Palatino Linotype" w:cs="Palatino Linotype" w:eastAsia="Palatino Linotype" w:hAnsi="Palatino Linotype"/>
          <w:sz w:val="19"/>
          <w:szCs w:val="19"/>
        </w:rPr>
        <w:t xml:space="preserve"> — the strongest confirmation of this paper's central claim.</w:t>
      </w:r>
    </w:p>
    <w:p>
      <w:pPr>
        <w:spacing w:after="20" w:line="240"/>
        <w:ind w:firstLine="220"/>
        <w:jc w:val="both"/>
      </w:pPr>
      <w:r>
        <w:rPr>
          <w:rFonts w:ascii="Palatino Linotype" w:cs="Palatino Linotype" w:eastAsia="Palatino Linotype" w:hAnsi="Palatino Linotype"/>
          <w:sz w:val="19"/>
          <w:szCs w:val="19"/>
        </w:rPr>
        <w:t xml:space="preserve">Honest caveats to §6.9–6.10: the event set here is 24 (chokepoint-only events have no v3 node), so these numbers are not directly comparable with the headline N=27; and the model class (a scale correction) was chosen after v3's behaviour was known — the scale itself is fitted leave-one-out, but the choice of that correction form was not pre-registered. The advantage over the zero-parameter baselines remains </w:t>
      </w:r>
      <w:r>
        <w:rPr>
          <w:rFonts w:ascii="Palatino Linotype" w:cs="Palatino Linotype" w:eastAsia="Palatino Linotype" w:hAnsi="Palatino Linotype"/>
          <w:b/>
          <w:bCs/>
          <w:sz w:val="19"/>
          <w:szCs w:val="19"/>
        </w:rPr>
        <w:t xml:space="preserve">non-significant</w:t>
      </w:r>
      <w:r>
        <w:rPr>
          <w:rFonts w:ascii="Palatino Linotype" w:cs="Palatino Linotype" w:eastAsia="Palatino Linotype" w:hAnsi="Palatino Linotype"/>
          <w:sz w:val="19"/>
          <w:szCs w:val="19"/>
        </w:rPr>
        <w:t xml:space="preserve"> (p = 0.06–0.50), so the §6.1 parity headline stands.</w:t>
      </w:r>
    </w:p>
    <w:p>
      <w:pPr>
        <w:keepNext/>
        <w:spacing w:after="50" w:before="140"/>
      </w:pPr>
      <w:r>
        <w:rPr>
          <w:rFonts w:ascii="Palatino Linotype" w:cs="Palatino Linotype" w:eastAsia="Palatino Linotype" w:hAnsi="Palatino Linotype"/>
          <w:b/>
          <w:bCs/>
          <w:i/>
          <w:iCs/>
          <w:color w:val="1A1A1A"/>
          <w:sz w:val="19"/>
          <w:szCs w:val="19"/>
        </w:rPr>
        <w:t xml:space="preserve">6.11. Would machine learning have done better?</w:t>
      </w:r>
    </w:p>
    <w:p>
      <w:pPr>
        <w:spacing w:after="20" w:line="240"/>
        <w:ind w:firstLine="220"/>
        <w:jc w:val="both"/>
      </w:pPr>
      <w:r>
        <w:rPr>
          <w:rFonts w:ascii="Palatino Linotype" w:cs="Palatino Linotype" w:eastAsia="Palatino Linotype" w:hAnsi="Palatino Linotype"/>
          <w:sz w:val="19"/>
          <w:szCs w:val="19"/>
        </w:rPr>
        <w:t xml:space="preserve">A natural objection to §6.1 is that all four models are mechanistic, and a flexible learner might find structure they miss. Tested directly: three learners on 11 event features knowable </w:t>
      </w:r>
      <w:r>
        <w:rPr>
          <w:rFonts w:ascii="Palatino Linotype" w:cs="Palatino Linotype" w:eastAsia="Palatino Linotype" w:hAnsi="Palatino Linotype"/>
          <w:b/>
          <w:bCs/>
          <w:sz w:val="19"/>
          <w:szCs w:val="19"/>
        </w:rPr>
        <w:t xml:space="preserve">before</w:t>
      </w:r>
      <w:r>
        <w:rPr>
          <w:rFonts w:ascii="Palatino Linotype" w:cs="Palatino Linotype" w:eastAsia="Palatino Linotype" w:hAnsi="Palatino Linotype"/>
          <w:sz w:val="19"/>
          <w:szCs w:val="19"/>
        </w:rPr>
        <w:t xml:space="preserve"> the outcome (shock magnitude, duration, horizon, number of shocks, forcing shape, chokepoint flag, the shocked node's world-GDP share, centrality and out-degree, and magnitude x duration). Evaluation is leave-one-out — every event predicted by a model that never saw it (Table 8).</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8.</w:t>
      </w:r>
      <w:r>
        <w:rPr>
          <w:rFonts w:ascii="Palatino Linotype" w:cs="Palatino Linotype" w:eastAsia="Palatino Linotype" w:hAnsi="Palatino Linotype"/>
          <w:sz w:val="16"/>
          <w:szCs w:val="16"/>
        </w:rPr>
        <w:t xml:space="preserve"> Learned versus mechanistic models: leave-one-out, 11 pre-outcome features.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2000"/>
        <w:gridCol w:w="1800"/>
        <w:gridCol w:w="16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Type</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Gradient boosting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+0.666</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Random forest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0.0167</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+0.504</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Ridge regression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+0.718</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trivial</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Gradient boosting posts the </w:t>
      </w:r>
      <w:r>
        <w:rPr>
          <w:rFonts w:ascii="Palatino Linotype" w:cs="Palatino Linotype" w:eastAsia="Palatino Linotype" w:hAnsi="Palatino Linotype"/>
          <w:b/>
          <w:bCs/>
          <w:sz w:val="19"/>
          <w:szCs w:val="19"/>
        </w:rPr>
        <w:t xml:space="preserve">best MAE of any model in this paper</w:t>
      </w:r>
      <w:r>
        <w:rPr>
          <w:rFonts w:ascii="Palatino Linotype" w:cs="Palatino Linotype" w:eastAsia="Palatino Linotype" w:hAnsi="Palatino Linotype"/>
          <w:sz w:val="19"/>
          <w:szCs w:val="19"/>
        </w:rPr>
        <w:t xml:space="preserve">, yet against the naive mean it gives dMAE = −0.0066, 95% CI [−0.0126, +0.0008], p = 0.066 — </w:t>
      </w:r>
      <w:r>
        <w:rPr>
          <w:rFonts w:ascii="Palatino Linotype" w:cs="Palatino Linotype" w:eastAsia="Palatino Linotype" w:hAnsi="Palatino Linotype"/>
          <w:b/>
          <w:bCs/>
          <w:sz w:val="19"/>
          <w:szCs w:val="19"/>
        </w:rPr>
        <w:t xml:space="preserve">not significant</w:t>
      </w:r>
      <w:r>
        <w:rPr>
          <w:rFonts w:ascii="Palatino Linotype" w:cs="Palatino Linotype" w:eastAsia="Palatino Linotype" w:hAnsi="Palatino Linotype"/>
          <w:sz w:val="19"/>
          <w:szCs w:val="19"/>
        </w:rPr>
        <w:t xml:space="preserve">; the other two learners are further away (p = 0.28 and 0.52).</w:t>
      </w:r>
    </w:p>
    <w:p>
      <w:pPr>
        <w:spacing w:after="20" w:line="240"/>
        <w:ind w:firstLine="220"/>
        <w:jc w:val="both"/>
      </w:pPr>
      <w:r>
        <w:rPr>
          <w:rFonts w:ascii="Palatino Linotype" w:cs="Palatino Linotype" w:eastAsia="Palatino Linotype" w:hAnsi="Palatino Linotype"/>
          <w:b/>
          <w:bCs/>
          <w:sz w:val="19"/>
          <w:szCs w:val="19"/>
        </w:rPr>
        <w:t xml:space="preserve">A methodological finding surfaced by this check.</w:t>
      </w:r>
      <w:r>
        <w:rPr>
          <w:rFonts w:ascii="Palatino Linotype" w:cs="Palatino Linotype" w:eastAsia="Palatino Linotype" w:hAnsi="Palatino Linotype"/>
          <w:sz w:val="19"/>
          <w:szCs w:val="19"/>
        </w:rPr>
        <w:t xml:space="preserve"> The first feature set one-hot encoded observed.most_impacted_industry. The mechanistic baselines read that field too, but only to select which aggregate to report, whereas a learner can mine it as outcome information. With it, gradient boosting reached MAE 0.0114 and beat the naive mean </w:t>
      </w:r>
      <w:r>
        <w:rPr>
          <w:rFonts w:ascii="Palatino Linotype" w:cs="Palatino Linotype" w:eastAsia="Palatino Linotype" w:hAnsi="Palatino Linotype"/>
          <w:b/>
          <w:bCs/>
          <w:sz w:val="19"/>
          <w:szCs w:val="19"/>
        </w:rPr>
        <w:t xml:space="preserve">significantly</w:t>
      </w:r>
      <w:r>
        <w:rPr>
          <w:rFonts w:ascii="Palatino Linotype" w:cs="Palatino Linotype" w:eastAsia="Palatino Linotype" w:hAnsi="Palatino Linotype"/>
          <w:sz w:val="19"/>
          <w:szCs w:val="19"/>
        </w:rPr>
        <w:t xml:space="preserve"> (p = 0.015); without it the significance disappears. The feature was removed and both versions are recorded in the artifact — the gap between them shows how easily leakage passes for discovery at N=27.</w:t>
      </w:r>
    </w:p>
    <w:p>
      <w:pPr>
        <w:spacing w:after="20" w:line="240"/>
        <w:ind w:firstLine="220"/>
        <w:jc w:val="both"/>
      </w:pPr>
      <w:r>
        <w:rPr>
          <w:rFonts w:ascii="Palatino Linotype" w:cs="Palatino Linotype" w:eastAsia="Palatino Linotype" w:hAnsi="Palatino Linotype"/>
          <w:sz w:val="19"/>
          <w:szCs w:val="19"/>
        </w:rPr>
        <w:t xml:space="preserve">This agrees with §6.4: the ceiling is set by the </w:t>
      </w:r>
      <w:r>
        <w:rPr>
          <w:rFonts w:ascii="Palatino Linotype" w:cs="Palatino Linotype" w:eastAsia="Palatino Linotype" w:hAnsi="Palatino Linotype"/>
          <w:b/>
          <w:bCs/>
          <w:sz w:val="19"/>
          <w:szCs w:val="19"/>
        </w:rPr>
        <w:t xml:space="preserve">data, not the choice of model</w:t>
      </w:r>
      <w:r>
        <w:rPr>
          <w:rFonts w:ascii="Palatino Linotype" w:cs="Palatino Linotype" w:eastAsia="Palatino Linotype" w:hAnsi="Palatino Linotype"/>
          <w:sz w:val="19"/>
          <w:szCs w:val="19"/>
        </w:rPr>
        <w:t xml:space="preserve">. Caveat: 27 events and 11 features is a regime hostile to any learner, and this is not evidence that machine learning cannot work on a larger benchmark.</w:t>
      </w:r>
    </w:p>
    <w:p>
      <w:pPr>
        <w:keepNext/>
        <w:spacing w:after="70" w:before="200"/>
      </w:pPr>
      <w:r>
        <w:rPr>
          <w:rFonts w:ascii="Palatino Linotype" w:cs="Palatino Linotype" w:eastAsia="Palatino Linotype" w:hAnsi="Palatino Linotype"/>
          <w:b/>
          <w:bCs/>
          <w:color w:val="1A1A1A"/>
          <w:sz w:val="21"/>
          <w:szCs w:val="21"/>
        </w:rPr>
        <w:t xml:space="preserve">7. Discussion</w:t>
      </w:r>
    </w:p>
    <w:p>
      <w:pPr>
        <w:spacing w:after="20" w:line="240"/>
        <w:ind w:firstLine="220"/>
        <w:jc w:val="both"/>
      </w:pPr>
      <w:r>
        <w:rPr>
          <w:rFonts w:ascii="Palatino Linotype" w:cs="Palatino Linotype" w:eastAsia="Palatino Linotype" w:hAnsi="Palatino Linotype"/>
          <w:sz w:val="19"/>
          <w:szCs w:val="19"/>
        </w:rPr>
        <w:t xml:space="preserve">Three results combine into one conclusion. (1) On the axis almost every paper reports — point magnitude — four fundamentally different models are statistically indistinguishable, and this is not an artifact of weak tuning: the parity survives per-fold recalibration and is quantitatively power-limited. (2) The axes that do separate the models are temporal and spatial: where only a full dynamic model can even compete, its results are significant (0.69 and 0.88). (3) The largest measured quality gain came not from dynamics but from network-structure data (recall 0.29 → 0.79, free in parameters).</w:t>
      </w:r>
    </w:p>
    <w:p>
      <w:pPr>
        <w:spacing w:after="20" w:line="240"/>
        <w:ind w:firstLine="220"/>
        <w:jc w:val="both"/>
      </w:pPr>
      <w:r>
        <w:rPr>
          <w:rFonts w:ascii="Palatino Linotype" w:cs="Palatino Linotype" w:eastAsia="Palatino Linotype" w:hAnsi="Palatino Linotype"/>
          <w:sz w:val="19"/>
          <w:szCs w:val="19"/>
        </w:rPr>
        <w:t xml:space="preserve">Practical takeaway: cascade models should be validated by “predict the pattern, not one number,” or leaderboards compare noise. Methodological takeaway: pre-registering gates turns negative results into publishable assets.</w:t>
      </w:r>
    </w:p>
    <w:p>
      <w:pPr>
        <w:keepNext/>
        <w:spacing w:after="70" w:before="200"/>
      </w:pPr>
      <w:r>
        <w:rPr>
          <w:rFonts w:ascii="Palatino Linotype" w:cs="Palatino Linotype" w:eastAsia="Palatino Linotype" w:hAnsi="Palatino Linotype"/>
          <w:b/>
          <w:bCs/>
          <w:color w:val="1A1A1A"/>
          <w:sz w:val="21"/>
          <w:szCs w:val="21"/>
        </w:rPr>
        <w:t xml:space="preserve">8. Limitations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N=27</w:t>
      </w:r>
      <w:r>
        <w:rPr>
          <w:rFonts w:ascii="Palatino Linotype" w:cs="Palatino Linotype" w:eastAsia="Palatino Linotype" w:hAnsi="Palatino Linotype"/>
          <w:sz w:val="19"/>
          <w:szCs w:val="19"/>
        </w:rPr>
        <w:t xml:space="preserve"> for Track A and n=5/15/11 for Track B — power is limited; absence of significance is not equivalence (§6.4).</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The node-magnitude axis is empty</w:t>
      </w:r>
      <w:r>
        <w:rPr>
          <w:rFonts w:ascii="Palatino Linotype" w:cs="Palatino Linotype" w:eastAsia="Palatino Linotype" w:hAnsi="Palatino Linotype"/>
          <w:sz w:val="19"/>
          <w:szCs w:val="19"/>
        </w:rPr>
        <w:t xml:space="preserve"> (n=5, CI [−1; 1]): monthly fab-output indices are seldom published.</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Two structural misses</w:t>
      </w:r>
      <w:r>
        <w:rPr>
          <w:rFonts w:ascii="Palatino Linotype" w:cs="Palatino Linotype" w:eastAsia="Palatino Linotype" w:hAnsi="Palatino Linotype"/>
          <w:sz w:val="19"/>
          <w:szCs w:val="19"/>
        </w:rPr>
        <w:t xml:space="preserve"> (Chi-Chi, the 2008–09 crisis) are described but not solved; three fix attempts were rejected by the out-of-sample gate.</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Baselines are canonical rather than published implementations</w:t>
      </w:r>
      <w:r>
        <w:rPr>
          <w:rFonts w:ascii="Palatino Linotype" w:cs="Palatino Linotype" w:eastAsia="Palatino Linotype" w:hAnsi="Palatino Linotype"/>
          <w:sz w:val="19"/>
          <w:szCs w:val="19"/>
        </w:rPr>
        <w:t xml:space="preserve">: comparison against published cascade models [11,12] is the next step.</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Event selection is biased toward the documented</w:t>
      </w:r>
      <w:r>
        <w:rPr>
          <w:rFonts w:ascii="Palatino Linotype" w:cs="Palatino Linotype" w:eastAsia="Palatino Linotype" w:hAnsi="Palatino Linotype"/>
          <w:sz w:val="19"/>
          <w:szCs w:val="19"/>
        </w:rPr>
        <w:t xml:space="preserve"> — now measured rather than assumed, see below.</w:t>
      </w:r>
    </w:p>
    <w:p>
      <w:pPr>
        <w:keepNext/>
        <w:spacing w:after="50" w:before="140"/>
      </w:pPr>
      <w:r>
        <w:rPr>
          <w:rFonts w:ascii="Palatino Linotype" w:cs="Palatino Linotype" w:eastAsia="Palatino Linotype" w:hAnsi="Palatino Linotype"/>
          <w:b/>
          <w:bCs/>
          <w:i/>
          <w:iCs/>
          <w:color w:val="1A1A1A"/>
          <w:sz w:val="19"/>
          <w:szCs w:val="19"/>
        </w:rPr>
        <w:t xml:space="preserve">8.1. Measured selection bias</w:t>
      </w:r>
    </w:p>
    <w:p>
      <w:pPr>
        <w:spacing w:after="20" w:line="240"/>
        <w:ind w:firstLine="220"/>
        <w:jc w:val="both"/>
      </w:pPr>
      <w:r>
        <w:rPr>
          <w:rFonts w:ascii="Palatino Linotype" w:cs="Palatino Linotype" w:eastAsia="Palatino Linotype" w:hAnsi="Palatino Linotype"/>
          <w:sz w:val="19"/>
          <w:szCs w:val="19"/>
        </w:rPr>
        <w:t xml:space="preserve">EM-DAT (CRED/UCLouvain, 19,651 disasters) provides an external population against which the benchmark's coverage can be measured. For disasters in our 12 countries since 1995 we cover 54% of those causing &gt;=$50bn damage, 19% of &gt;=$10bn, 10% of &gt;=$5bn and 9% of &gt;=$1bn. The gradient IS the bias: most of the very largest disruptions are covered and progressively fewer mid-sized ones. The misses are systematic rather than arbitrary — the largest uncovered events (Wenchuan 2008, hurricanes Ian/Sandy/Helene, the 1998 China floods) inflict damage mainly on housing and infrastructure rather than the manufacturing capacity the benchmark calibrates on; Harvey 2017 is included precisely because it struck petrochemicals.</w:t>
      </w:r>
    </w:p>
    <w:p>
      <w:pPr>
        <w:spacing w:after="20" w:line="240"/>
        <w:ind w:firstLine="220"/>
        <w:jc w:val="both"/>
      </w:pPr>
      <w:r>
        <w:rPr>
          <w:rFonts w:ascii="Palatino Linotype" w:cs="Palatino Linotype" w:eastAsia="Palatino Linotype" w:hAnsi="Palatino Linotype"/>
          <w:sz w:val="19"/>
          <w:szCs w:val="19"/>
        </w:rPr>
        <w:t xml:space="preserve">A tempting route to a larger N was tested and </w:t>
      </w:r>
      <w:r>
        <w:rPr>
          <w:rFonts w:ascii="Palatino Linotype" w:cs="Palatino Linotype" w:eastAsia="Palatino Linotype" w:hAnsi="Palatino Linotype"/>
          <w:b/>
          <w:bCs/>
          <w:sz w:val="19"/>
          <w:szCs w:val="19"/>
        </w:rPr>
        <w:t xml:space="preserve">rejected</w:t>
      </w:r>
      <w:r>
        <w:rPr>
          <w:rFonts w:ascii="Palatino Linotype" w:cs="Palatino Linotype" w:eastAsia="Palatino Linotype" w:hAnsi="Palatino Linotype"/>
          <w:sz w:val="19"/>
          <w:szCs w:val="19"/>
        </w:rPr>
        <w:t xml:space="preserve">: pairing disaster records with national industrial-production indices. Of 76 US disasters with &gt;=$5bn damage since 1972, only 7 (9%) coincide with an &gt;=8% year-over-year fall in motor-vehicle output, and every one is explained by a concurrent macro event or is already in the set. Hurricane Katrina ($206bn) fell in a month when US automotive output ROSE 2.8%. The reason is structural: a national index averages the whole country and dilutes a regional shock.</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Graph completeness</w:t>
      </w:r>
      <w:r>
        <w:rPr>
          <w:rFonts w:ascii="Palatino Linotype" w:cs="Palatino Linotype" w:eastAsia="Palatino Linotype" w:hAnsi="Palatino Linotype"/>
          <w:sz w:val="19"/>
          <w:szCs w:val="19"/>
        </w:rPr>
        <w:t xml:space="preserve">: v2 omits several real producers; v3 (405 nodes) is not yet calibrated on magnitudes.</w:t>
      </w:r>
    </w:p>
    <w:p>
      <w:pPr>
        <w:keepNext/>
        <w:spacing w:after="50" w:before="140"/>
      </w:pPr>
      <w:r>
        <w:rPr>
          <w:rFonts w:ascii="Palatino Linotype" w:cs="Palatino Linotype" w:eastAsia="Palatino Linotype" w:hAnsi="Palatino Linotype"/>
          <w:b/>
          <w:bCs/>
          <w:i/>
          <w:iCs/>
          <w:color w:val="1A1A1A"/>
          <w:sz w:val="19"/>
          <w:szCs w:val="19"/>
        </w:rPr>
        <w:t xml:space="preserve">8.2. The third route to a larger N: chokepoints</w:t>
      </w:r>
    </w:p>
    <w:p>
      <w:pPr>
        <w:spacing w:after="20" w:line="240"/>
        <w:ind w:firstLine="220"/>
        <w:jc w:val="both"/>
      </w:pPr>
      <w:r>
        <w:rPr>
          <w:rFonts w:ascii="Palatino Linotype" w:cs="Palatino Linotype" w:eastAsia="Palatino Linotype" w:hAnsi="Palatino Linotype"/>
          <w:sz w:val="19"/>
          <w:szCs w:val="19"/>
        </w:rPr>
        <w:t xml:space="preserve">After the disaster-records × production-indices route failed (§8.1), a third remained, in principle the cleanest: maritime chokepoints. A blocked strait is supply-side by construction, and the transit count </w:t>
      </w:r>
      <w:r>
        <w:rPr>
          <w:rFonts w:ascii="Palatino Linotype" w:cs="Palatino Linotype" w:eastAsia="Palatino Linotype" w:hAnsi="Palatino Linotype"/>
          <w:b/>
          <w:bCs/>
          <w:sz w:val="19"/>
          <w:szCs w:val="19"/>
        </w:rPr>
        <w:t xml:space="preserve">is itself</w:t>
      </w:r>
      <w:r>
        <w:rPr>
          <w:rFonts w:ascii="Palatino Linotype" w:cs="Palatino Linotype" w:eastAsia="Palatino Linotype" w:hAnsi="Palatino Linotype"/>
          <w:sz w:val="19"/>
          <w:szCs w:val="19"/>
        </w:rPr>
        <w:t xml:space="preserve"> the magnitude. The IMF PortWatch daily series (77,389 observations, 28 chokepoints, 2019–2026) was obtained and committed; a detector flags weeks where transits fall more than 15% below a trailing median.</w:t>
      </w:r>
    </w:p>
    <w:p>
      <w:pPr>
        <w:spacing w:after="20" w:line="240"/>
        <w:ind w:firstLine="220"/>
        <w:jc w:val="both"/>
      </w:pPr>
      <w:r>
        <w:rPr>
          <w:rFonts w:ascii="Palatino Linotype" w:cs="Palatino Linotype" w:eastAsia="Palatino Linotype" w:hAnsi="Palatino Linotype"/>
          <w:b/>
          <w:bCs/>
          <w:sz w:val="19"/>
          <w:szCs w:val="19"/>
        </w:rPr>
        <w:t xml:space="preserve">The detector validates on the known</w:t>
      </w:r>
      <w:r>
        <w:rPr>
          <w:rFonts w:ascii="Palatino Linotype" w:cs="Palatino Linotype" w:eastAsia="Palatino Linotype" w:hAnsi="Palatino Linotype"/>
          <w:sz w:val="19"/>
          <w:szCs w:val="19"/>
        </w:rPr>
        <w:t xml:space="preserve"> — it independently rediscovers both chokepoint events already in the benchmark: the Red Sea crisis 2023–24 (Suez, −48.3% peak) and the Panama drought (−40.0%). </w:t>
      </w:r>
      <w:r>
        <w:rPr>
          <w:rFonts w:ascii="Palatino Linotype" w:cs="Palatino Linotype" w:eastAsia="Palatino Linotype" w:hAnsi="Palatino Linotype"/>
          <w:b/>
          <w:bCs/>
          <w:sz w:val="19"/>
          <w:szCs w:val="19"/>
        </w:rPr>
        <w:t xml:space="preserve">But it yielded no new usable events:</w:t>
      </w:r>
      <w:r>
        <w:rPr>
          <w:rFonts w:ascii="Palatino Linotype" w:cs="Palatino Linotype" w:eastAsia="Palatino Linotype" w:hAnsi="Palatino Linotype"/>
          <w:sz w:val="19"/>
          <w:szCs w:val="19"/>
        </w:rPr>
        <w:t xml:space="preserve"> of 19 episodes, two are those, four fall in COVID-era 2020, and most of the rest are Hormuz's seasonal winter trough (December runs 28% lighter than August). The third route closes too: N stays at 27, and that is a tested result rather than an omission.</w:t>
      </w:r>
    </w:p>
    <w:p>
      <w:pPr>
        <w:spacing w:after="20" w:line="240"/>
        <w:ind w:firstLine="220"/>
        <w:jc w:val="both"/>
      </w:pPr>
      <w:r>
        <w:rPr>
          <w:rFonts w:ascii="Palatino Linotype" w:cs="Palatino Linotype" w:eastAsia="Palatino Linotype" w:hAnsi="Palatino Linotype"/>
          <w:b/>
          <w:bCs/>
          <w:sz w:val="19"/>
          <w:szCs w:val="19"/>
        </w:rPr>
        <w:t xml:space="preserve">A refuted figure.</w:t>
      </w:r>
      <w:r>
        <w:rPr>
          <w:rFonts w:ascii="Palatino Linotype" w:cs="Palatino Linotype" w:eastAsia="Palatino Linotype" w:hAnsi="Palatino Linotype"/>
          <w:sz w:val="19"/>
          <w:szCs w:val="19"/>
        </w:rPr>
        <w:t xml:space="preserve"> The working log had recorded the August 2022 Taiwan Strait exercises with a 22% transit drop citing IMF PortWatch. Against the primary series the worst week measures </w:t>
      </w:r>
      <w:r>
        <w:rPr>
          <w:rFonts w:ascii="Palatino Linotype" w:cs="Palatino Linotype" w:eastAsia="Palatino Linotype" w:hAnsi="Palatino Linotype"/>
          <w:b/>
          <w:bCs/>
          <w:sz w:val="19"/>
          <w:szCs w:val="19"/>
        </w:rPr>
        <w:t xml:space="preserve">−5.6%</w:t>
      </w:r>
      <w:r>
        <w:rPr>
          <w:rFonts w:ascii="Palatino Linotype" w:cs="Palatino Linotype" w:eastAsia="Palatino Linotype" w:hAnsi="Palatino Linotype"/>
          <w:sz w:val="19"/>
          <w:szCs w:val="19"/>
        </w:rPr>
        <w:t xml:space="preserve"> relative to the April–June baseline (1,593 vs 1,687 transits per week). The 22% figure is not in the data and the episode does not even clear the detector's 15% threshold. The record was corrected and kept as a documented false positive.</w:t>
      </w:r>
    </w:p>
    <w:p>
      <w:pPr>
        <w:spacing w:after="20" w:line="240"/>
        <w:ind w:firstLine="220"/>
        <w:jc w:val="both"/>
      </w:pPr>
      <w:r>
        <w:rPr>
          <w:rFonts w:ascii="Palatino Linotype" w:cs="Palatino Linotype" w:eastAsia="Palatino Linotype" w:hAnsi="Palatino Linotype"/>
          <w:b/>
          <w:bCs/>
          <w:sz w:val="19"/>
          <w:szCs w:val="19"/>
        </w:rPr>
        <w:t xml:space="preserve">The largest disruption in the record — and why it cannot be included.</w:t>
      </w:r>
      <w:r>
        <w:rPr>
          <w:rFonts w:ascii="Palatino Linotype" w:cs="Palatino Linotype" w:eastAsia="Palatino Linotype" w:hAnsi="Palatino Linotype"/>
          <w:sz w:val="19"/>
          <w:szCs w:val="19"/>
        </w:rPr>
        <w:t xml:space="preserve"> The 2026 Strait of Hormuz closure: weekly transits collapse from 561 to 25 in the week of 8 March and stay between 14 and 107 through June — a </w:t>
      </w:r>
      <w:r>
        <w:rPr>
          <w:rFonts w:ascii="Palatino Linotype" w:cs="Palatino Linotype" w:eastAsia="Palatino Linotype" w:hAnsi="Palatino Linotype"/>
          <w:b/>
          <w:bCs/>
          <w:sz w:val="19"/>
          <w:szCs w:val="19"/>
        </w:rPr>
        <w:t xml:space="preserve">95.5%</w:t>
      </w:r>
      <w:r>
        <w:rPr>
          <w:rFonts w:ascii="Palatino Linotype" w:cs="Palatino Linotype" w:eastAsia="Palatino Linotype" w:hAnsi="Palatino Linotype"/>
          <w:sz w:val="19"/>
          <w:szCs w:val="19"/>
        </w:rPr>
        <w:t xml:space="preserve"> peak deficit, deeper than Ever Given (0.96, but for days) and far longer than the Red Sea crisis (0.48). It matches the closure announced on 2 March 2026 and the IMO's 21 April report of ~2,000 ships stranded. The rival explanation was checked: PortWatch revised the Hormuz boundary in March 2026, but a definitional change produces a step to a new stable level, whereas the series shows a one-week collapse with volatile partial recovery.</w:t>
      </w:r>
    </w:p>
    <w:p>
      <w:pPr>
        <w:spacing w:after="20" w:line="240"/>
        <w:ind w:firstLine="220"/>
        <w:jc w:val="both"/>
      </w:pPr>
      <w:r>
        <w:rPr>
          <w:rFonts w:ascii="Palatino Linotype" w:cs="Palatino Linotype" w:eastAsia="Palatino Linotype" w:hAnsi="Palatino Linotype"/>
          <w:sz w:val="19"/>
          <w:szCs w:val="19"/>
        </w:rPr>
        <w:t xml:space="preserve">The event is </w:t>
      </w:r>
      <w:r>
        <w:rPr>
          <w:rFonts w:ascii="Palatino Linotype" w:cs="Palatino Linotype" w:eastAsia="Palatino Linotype" w:hAnsi="Palatino Linotype"/>
          <w:b/>
          <w:bCs/>
          <w:sz w:val="19"/>
          <w:szCs w:val="19"/>
        </w:rPr>
        <w:t xml:space="preserve">measured but not included</w:t>
      </w:r>
      <w:r>
        <w:rPr>
          <w:rFonts w:ascii="Palatino Linotype" w:cs="Palatino Linotype" w:eastAsia="Palatino Linotype" w:hAnsi="Palatino Linotype"/>
          <w:sz w:val="19"/>
          <w:szCs w:val="19"/>
        </w:rPr>
        <w:t xml:space="preserve">, for a methodologically instructive reason: it is </w:t>
      </w:r>
      <w:r>
        <w:rPr>
          <w:rFonts w:ascii="Palatino Linotype" w:cs="Palatino Linotype" w:eastAsia="Palatino Linotype" w:hAnsi="Palatino Linotype"/>
          <w:b/>
          <w:bCs/>
          <w:sz w:val="19"/>
          <w:szCs w:val="19"/>
        </w:rPr>
        <w:t xml:space="preserve">still running</w:t>
      </w:r>
      <w:r>
        <w:rPr>
          <w:rFonts w:ascii="Palatino Linotype" w:cs="Palatino Linotype" w:eastAsia="Palatino Linotype" w:hAnsi="Palatino Linotype"/>
          <w:sz w:val="19"/>
          <w:szCs w:val="19"/>
        </w:rPr>
        <w:t xml:space="preserve"> at the data cutoff. No agency has published 2026 industry losses, so the observed target the benchmark calibrates against does not yet exist, and recovery duration is undefined for an unfinished event. The strongest event in the dataset is unusable precisely because it is too recent.</w:t>
      </w:r>
    </w:p>
    <w:p>
      <w:pPr>
        <w:keepNext/>
        <w:spacing w:after="70" w:before="200"/>
      </w:pPr>
      <w:r>
        <w:rPr>
          <w:rFonts w:ascii="Palatino Linotype" w:cs="Palatino Linotype" w:eastAsia="Palatino Linotype" w:hAnsi="Palatino Linotype"/>
          <w:b/>
          <w:bCs/>
          <w:color w:val="1A1A1A"/>
          <w:sz w:val="21"/>
          <w:szCs w:val="21"/>
        </w:rPr>
        <w:t xml:space="preserve">9. Reproducibility</w:t>
      </w:r>
    </w:p>
    <w:p>
      <w:pPr>
        <w:spacing w:after="20" w:line="240"/>
        <w:ind w:firstLine="220"/>
        <w:jc w:val="both"/>
      </w:pPr>
      <w:r>
        <w:rPr>
          <w:rFonts w:ascii="Palatino Linotype" w:cs="Palatino Linotype" w:eastAsia="Palatino Linotype" w:hAnsi="Palatino Linotype"/>
          <w:sz w:val="19"/>
          <w:szCs w:val="19"/>
        </w:rPr>
        <w:t xml:space="preserve">The engine configuration is pinned (fixed seeds, stochasticity off); results are frozen by golden tests, and any numeric change is an explicit diff in the same commit. The statistical layer is deterministic (seed 20260718). The headline-numbers document and all figures are generated by scripts from artifacts; each figure ships with its numeric table. 146 automated tests, all green. Exact commands are in Appendix B.</w:t>
      </w:r>
    </w:p>
    <w:p>
      <w:pPr>
        <w:keepNext/>
        <w:spacing w:after="70" w:before="200"/>
      </w:pPr>
      <w:r>
        <w:rPr>
          <w:rFonts w:ascii="Palatino Linotype" w:cs="Palatino Linotype" w:eastAsia="Palatino Linotype" w:hAnsi="Palatino Linotype"/>
          <w:b/>
          <w:bCs/>
          <w:color w:val="1A1A1A"/>
          <w:sz w:val="21"/>
          <w:szCs w:val="21"/>
        </w:rPr>
        <w:t xml:space="preserve">10. Conclusion and Future Work</w:t>
      </w:r>
    </w:p>
    <w:p>
      <w:pPr>
        <w:spacing w:after="20" w:line="240"/>
        <w:ind w:firstLine="220"/>
        <w:jc w:val="both"/>
      </w:pPr>
      <w:r>
        <w:rPr>
          <w:rFonts w:ascii="Palatino Linotype" w:cs="Palatino Linotype" w:eastAsia="Palatino Linotype" w:hAnsi="Palatino Linotype"/>
          <w:sz w:val="19"/>
          <w:szCs w:val="19"/>
        </w:rPr>
        <w:t xml:space="preserve">The benchmark and three-axis validation give a way to tell cascade models apart in a statistically honest manner. Next: grow N via chokepoint events (IMF PortWatch transit data sidesteps the aggregate-dilution problem); calibrate magnitudes on the 405-node ICIO graph; a demand-side mechanism for 2008–09-type events; and releasing the benchmark as an open standard for third-party models.</w:t>
      </w:r>
    </w:p>
    <w:p>
      <w:pPr>
        <w:spacing w:after="40" w:before="100"/>
      </w:pPr>
      <w:r>
        <w:rPr>
          <w:rFonts w:ascii="Palatino Linotype" w:cs="Palatino Linotype" w:eastAsia="Palatino Linotype" w:hAnsi="Palatino Linotype"/>
          <w:b/>
          <w:bCs/>
          <w:color w:val="1A1A1A"/>
          <w:sz w:val="18"/>
          <w:szCs w:val="18"/>
        </w:rPr>
        <w:t xml:space="preserve">Back matter</w:t>
      </w:r>
    </w:p>
    <w:p>
      <w:pPr>
        <w:spacing w:after="20" w:line="240"/>
        <w:jc w:val="both"/>
      </w:pPr>
      <w:r>
        <w:rPr>
          <w:rFonts w:ascii="Palatino Linotype" w:cs="Palatino Linotype" w:eastAsia="Palatino Linotype" w:hAnsi="Palatino Linotype"/>
          <w:b/>
          <w:bCs/>
          <w:sz w:val="19"/>
          <w:szCs w:val="19"/>
        </w:rPr>
        <w:t xml:space="preserve">Data and code availability.</w:t>
      </w:r>
      <w:r>
        <w:rPr>
          <w:rFonts w:ascii="Palatino Linotype" w:cs="Palatino Linotype" w:eastAsia="Palatino Linotype" w:hAnsi="Palatino Linotype"/>
          <w:sz w:val="19"/>
          <w:szCs w:val="19"/>
        </w:rPr>
        <w:t xml:space="preserve"> All data, engine code, validation scripts and artifacts are open in the project repository; every calibration target carries a primary source. Numbers reproduce via the Appendix B commands.</w:t>
      </w:r>
    </w:p>
    <w:p>
      <w:pPr>
        <w:spacing w:after="20" w:line="240"/>
        <w:jc w:val="both"/>
      </w:pPr>
      <w:r>
        <w:rPr>
          <w:rFonts w:ascii="Palatino Linotype" w:cs="Palatino Linotype" w:eastAsia="Palatino Linotype" w:hAnsi="Palatino Linotype"/>
          <w:b/>
          <w:bCs/>
          <w:sz w:val="19"/>
          <w:szCs w:val="19"/>
        </w:rPr>
        <w:t xml:space="preserve">Author contributions.</w:t>
      </w:r>
      <w:r>
        <w:rPr>
          <w:rFonts w:ascii="Palatino Linotype" w:cs="Palatino Linotype" w:eastAsia="Palatino Linotype" w:hAnsi="Palatino Linotype"/>
          <w:sz w:val="19"/>
          <w:szCs w:val="19"/>
        </w:rPr>
        <w:t xml:space="preserve"> [Complete per CRediT: conceptualization, methodology, software, validation, formal analysis, writing — original draft / review &amp; editing, visualization.]</w:t>
      </w:r>
    </w:p>
    <w:p>
      <w:pPr>
        <w:spacing w:after="20" w:line="240"/>
        <w:jc w:val="both"/>
      </w:pPr>
      <w:r>
        <w:rPr>
          <w:rFonts w:ascii="Palatino Linotype" w:cs="Palatino Linotype" w:eastAsia="Palatino Linotype" w:hAnsi="Palatino Linotype"/>
          <w:b/>
          <w:bCs/>
          <w:sz w:val="19"/>
          <w:szCs w:val="19"/>
        </w:rPr>
        <w:t xml:space="preserve">Funding.</w:t>
      </w:r>
      <w:r>
        <w:rPr>
          <w:rFonts w:ascii="Palatino Linotype" w:cs="Palatino Linotype" w:eastAsia="Palatino Linotype" w:hAnsi="Palatino Linotype"/>
          <w:sz w:val="19"/>
          <w:szCs w:val="19"/>
        </w:rPr>
        <w:t xml:space="preserve"> [This research received no external funding / state the grant.]</w:t>
      </w:r>
    </w:p>
    <w:p>
      <w:pPr>
        <w:spacing w:after="20" w:line="240"/>
        <w:jc w:val="both"/>
      </w:pPr>
      <w:r>
        <w:rPr>
          <w:rFonts w:ascii="Palatino Linotype" w:cs="Palatino Linotype" w:eastAsia="Palatino Linotype" w:hAnsi="Palatino Linotype"/>
          <w:b/>
          <w:bCs/>
          <w:sz w:val="19"/>
          <w:szCs w:val="19"/>
        </w:rPr>
        <w:t xml:space="preserve">Institutional review.</w:t>
      </w:r>
      <w:r>
        <w:rPr>
          <w:rFonts w:ascii="Palatino Linotype" w:cs="Palatino Linotype" w:eastAsia="Palatino Linotype" w:hAnsi="Palatino Linotype"/>
          <w:sz w:val="19"/>
          <w:szCs w:val="19"/>
        </w:rPr>
        <w:t xml:space="preserve"> Not applicable (no human or animal subjects; only aggregate open economic data).</w:t>
      </w:r>
    </w:p>
    <w:p>
      <w:pPr>
        <w:spacing w:after="20" w:line="240"/>
        <w:jc w:val="both"/>
      </w:pPr>
      <w:r>
        <w:rPr>
          <w:rFonts w:ascii="Palatino Linotype" w:cs="Palatino Linotype" w:eastAsia="Palatino Linotype" w:hAnsi="Palatino Linotype"/>
          <w:b/>
          <w:bCs/>
          <w:sz w:val="19"/>
          <w:szCs w:val="19"/>
        </w:rPr>
        <w:t xml:space="preserve">Conflicts of interest.</w:t>
      </w:r>
      <w:r>
        <w:rPr>
          <w:rFonts w:ascii="Palatino Linotype" w:cs="Palatino Linotype" w:eastAsia="Palatino Linotype" w:hAnsi="Palatino Linotype"/>
          <w:sz w:val="19"/>
          <w:szCs w:val="19"/>
        </w:rPr>
        <w:t xml:space="preserve"> The author(s) declare no conflict of interest.</w:t>
      </w:r>
    </w:p>
    <w:p>
      <w:pPr>
        <w:keepNext/>
        <w:spacing w:after="70" w:before="200"/>
      </w:pPr>
      <w:r>
        <w:rPr>
          <w:rFonts w:ascii="Palatino Linotype" w:cs="Palatino Linotype" w:eastAsia="Palatino Linotype" w:hAnsi="Palatino Linotype"/>
          <w:b/>
          <w:bCs/>
          <w:color w:val="1A1A1A"/>
          <w:sz w:val="21"/>
          <w:szCs w:val="21"/>
        </w:rPr>
        <w:t xml:space="preserve">References</w:t>
      </w:r>
    </w:p>
    <w:p>
      <w:pPr>
        <w:spacing w:after="24" w:line="210"/>
        <w:ind w:left="300" w:hanging="300"/>
        <w:jc w:val="both"/>
      </w:pPr>
      <w:r>
        <w:rPr>
          <w:rFonts w:ascii="Palatino Linotype" w:cs="Palatino Linotype" w:eastAsia="Palatino Linotype" w:hAnsi="Palatino Linotype"/>
          <w:sz w:val="16"/>
          <w:szCs w:val="16"/>
        </w:rPr>
        <w:t xml:space="preserve">1. Acemoglu, D.; Carvalho, V.M.; Ozdaglar, A.; Tahbaz-Salehi, A. The Network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2012, 80, 1977–2016. doi:10.3982/ECTA9623.</w:t>
      </w:r>
    </w:p>
    <w:p>
      <w:pPr>
        <w:spacing w:after="24" w:line="210"/>
        <w:ind w:left="300" w:hanging="300"/>
        <w:jc w:val="both"/>
      </w:pPr>
      <w:r>
        <w:rPr>
          <w:rFonts w:ascii="Palatino Linotype" w:cs="Palatino Linotype" w:eastAsia="Palatino Linotype" w:hAnsi="Palatino Linotype"/>
          <w:sz w:val="16"/>
          <w:szCs w:val="16"/>
        </w:rPr>
        <w:t xml:space="preserve">2. Acemoglu, D.; Ozdaglar, A.; Tahbaz-Salehi, A. Microeconomic Origins of Macroeconomic Tail Risks.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2017, 107, 54–108. doi:10.1257/aer.20151086.</w:t>
      </w:r>
    </w:p>
    <w:p>
      <w:pPr>
        <w:spacing w:after="24" w:line="210"/>
        <w:ind w:left="300" w:hanging="300"/>
        <w:jc w:val="both"/>
      </w:pPr>
      <w:r>
        <w:rPr>
          <w:rFonts w:ascii="Palatino Linotype" w:cs="Palatino Linotype" w:eastAsia="Palatino Linotype" w:hAnsi="Palatino Linotype"/>
          <w:sz w:val="16"/>
          <w:szCs w:val="16"/>
        </w:rPr>
        <w:t xml:space="preserve">3. Baqaee, D.R. Cascading Failures in Production Networks. </w:t>
      </w:r>
      <w:r>
        <w:rPr>
          <w:rFonts w:ascii="Palatino Linotype" w:cs="Palatino Linotype" w:eastAsia="Palatino Linotype" w:hAnsi="Palatino Linotype"/>
          <w:i/>
          <w:iCs/>
          <w:sz w:val="16"/>
          <w:szCs w:val="16"/>
        </w:rPr>
        <w:t xml:space="preserve">Working Paper</w:t>
      </w:r>
      <w:r>
        <w:rPr>
          <w:rFonts w:ascii="Palatino Linotype" w:cs="Palatino Linotype" w:eastAsia="Palatino Linotype" w:hAnsi="Palatino Linotype"/>
          <w:sz w:val="16"/>
          <w:szCs w:val="16"/>
        </w:rPr>
        <w:t xml:space="preserve"> 2016.</w:t>
      </w:r>
    </w:p>
    <w:p>
      <w:pPr>
        <w:spacing w:after="24" w:line="210"/>
        <w:ind w:left="300" w:hanging="300"/>
        <w:jc w:val="both"/>
      </w:pPr>
      <w:r>
        <w:rPr>
          <w:rFonts w:ascii="Palatino Linotype" w:cs="Palatino Linotype" w:eastAsia="Palatino Linotype" w:hAnsi="Palatino Linotype"/>
          <w:sz w:val="16"/>
          <w:szCs w:val="16"/>
        </w:rPr>
        <w:t xml:space="preserve">4. Bigio, S.; La'O, J. Distortions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2020, 135, 2187–2253. doi:10.1093/qjecon/qjaa002.</w:t>
      </w:r>
    </w:p>
    <w:p>
      <w:pPr>
        <w:spacing w:after="24" w:line="210"/>
        <w:ind w:left="300" w:hanging="300"/>
        <w:jc w:val="both"/>
      </w:pPr>
      <w:r>
        <w:rPr>
          <w:rFonts w:ascii="Palatino Linotype" w:cs="Palatino Linotype" w:eastAsia="Palatino Linotype" w:hAnsi="Palatino Linotype"/>
          <w:sz w:val="16"/>
          <w:szCs w:val="16"/>
        </w:rPr>
        <w:t xml:space="preserve">5. Carvalho, V.M.; Nirei, M.; Saito, Y.U.; Tahbaz-Salehi, A. Supply Chain Disruptions: Evidence from the Great East Japan Earthquake.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2021, 136, 1255–1321. doi:10.1093/qje/qjaa044.</w:t>
      </w:r>
    </w:p>
    <w:p>
      <w:pPr>
        <w:spacing w:after="24" w:line="210"/>
        <w:ind w:left="300" w:hanging="300"/>
        <w:jc w:val="both"/>
      </w:pPr>
      <w:r>
        <w:rPr>
          <w:rFonts w:ascii="Palatino Linotype" w:cs="Palatino Linotype" w:eastAsia="Palatino Linotype" w:hAnsi="Palatino Linotype"/>
          <w:sz w:val="16"/>
          <w:szCs w:val="16"/>
        </w:rPr>
        <w:t xml:space="preserve">6. Barrot, J.-N.; Sauvagnat, J. Input Specificity and the Propagation of Idiosyncratic Shocks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2016, 131, 1543–1592. doi:10.1093/qje/qjw018.</w:t>
      </w:r>
    </w:p>
    <w:p>
      <w:pPr>
        <w:spacing w:after="24" w:line="210"/>
        <w:ind w:left="300" w:hanging="300"/>
        <w:jc w:val="both"/>
      </w:pPr>
      <w:r>
        <w:rPr>
          <w:rFonts w:ascii="Palatino Linotype" w:cs="Palatino Linotype" w:eastAsia="Palatino Linotype" w:hAnsi="Palatino Linotype"/>
          <w:sz w:val="16"/>
          <w:szCs w:val="16"/>
        </w:rPr>
        <w:t xml:space="preserve">7. Boehm, C.E.; Flaaen, A.; Pandalai-Nayar, N. Input Linkages and the Transmission of Shocks: Firm-Level Evidence from the 2011 Tōhoku Earthquake. </w:t>
      </w:r>
      <w:r>
        <w:rPr>
          <w:rFonts w:ascii="Palatino Linotype" w:cs="Palatino Linotype" w:eastAsia="Palatino Linotype" w:hAnsi="Palatino Linotype"/>
          <w:i/>
          <w:iCs/>
          <w:sz w:val="16"/>
          <w:szCs w:val="16"/>
        </w:rPr>
        <w:t xml:space="preserve">Review of Economics and Statistics</w:t>
      </w:r>
      <w:r>
        <w:rPr>
          <w:rFonts w:ascii="Palatino Linotype" w:cs="Palatino Linotype" w:eastAsia="Palatino Linotype" w:hAnsi="Palatino Linotype"/>
          <w:sz w:val="16"/>
          <w:szCs w:val="16"/>
        </w:rPr>
        <w:t xml:space="preserve"> 2019, 101, 60–75. doi:10.1162/rest_a_00750.</w:t>
      </w:r>
    </w:p>
    <w:p>
      <w:pPr>
        <w:spacing w:after="24" w:line="210"/>
        <w:ind w:left="300" w:hanging="300"/>
        <w:jc w:val="both"/>
      </w:pPr>
      <w:r>
        <w:rPr>
          <w:rFonts w:ascii="Palatino Linotype" w:cs="Palatino Linotype" w:eastAsia="Palatino Linotype" w:hAnsi="Palatino Linotype"/>
          <w:sz w:val="16"/>
          <w:szCs w:val="16"/>
        </w:rPr>
        <w:t xml:space="preserve">8. Gabaix, X. The Granular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2011, 79, 733–772. doi:10.3982/ECTA8769.</w:t>
      </w:r>
    </w:p>
    <w:p>
      <w:pPr>
        <w:spacing w:after="24" w:line="210"/>
        <w:ind w:left="300" w:hanging="300"/>
        <w:jc w:val="both"/>
      </w:pPr>
      <w:r>
        <w:rPr>
          <w:rFonts w:ascii="Palatino Linotype" w:cs="Palatino Linotype" w:eastAsia="Palatino Linotype" w:hAnsi="Palatino Linotype"/>
          <w:sz w:val="16"/>
          <w:szCs w:val="16"/>
        </w:rPr>
        <w:t xml:space="preserve">9. di Giovanni, J.; Levchenko, A.A. Country Size, International Trade, and Aggregate Fluctuations in Granular Economies.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2012, 120, 1083–1132. doi:10.1086/669161.</w:t>
      </w:r>
    </w:p>
    <w:p>
      <w:pPr>
        <w:spacing w:after="24" w:line="210"/>
        <w:ind w:left="300" w:hanging="300"/>
        <w:jc w:val="both"/>
      </w:pPr>
      <w:r>
        <w:rPr>
          <w:rFonts w:ascii="Palatino Linotype" w:cs="Palatino Linotype" w:eastAsia="Palatino Linotype" w:hAnsi="Palatino Linotype"/>
          <w:sz w:val="16"/>
          <w:szCs w:val="16"/>
        </w:rPr>
        <w:t xml:space="preserve">10. Oberfield, E.; et al. Aggregate Fluctuations in Adaptive Production Networks.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2022, 119, e2203730119. doi:10.1073/pnas.2203730119.</w:t>
      </w:r>
    </w:p>
    <w:p>
      <w:pPr>
        <w:spacing w:after="24" w:line="210"/>
        <w:ind w:left="300" w:hanging="300"/>
        <w:jc w:val="both"/>
      </w:pPr>
      <w:r>
        <w:rPr>
          <w:rFonts w:ascii="Palatino Linotype" w:cs="Palatino Linotype" w:eastAsia="Palatino Linotype" w:hAnsi="Palatino Linotype"/>
          <w:sz w:val="16"/>
          <w:szCs w:val="16"/>
        </w:rPr>
        <w:t xml:space="preserve">11. Inoue, H.; Todo, Y. Firm-Level Propagation of Shocks Through Supply-Chain Networks. </w:t>
      </w:r>
      <w:r>
        <w:rPr>
          <w:rFonts w:ascii="Palatino Linotype" w:cs="Palatino Linotype" w:eastAsia="Palatino Linotype" w:hAnsi="Palatino Linotype"/>
          <w:i/>
          <w:iCs/>
          <w:sz w:val="16"/>
          <w:szCs w:val="16"/>
        </w:rPr>
        <w:t xml:space="preserve">Nature Sustainability</w:t>
      </w:r>
      <w:r>
        <w:rPr>
          <w:rFonts w:ascii="Palatino Linotype" w:cs="Palatino Linotype" w:eastAsia="Palatino Linotype" w:hAnsi="Palatino Linotype"/>
          <w:sz w:val="16"/>
          <w:szCs w:val="16"/>
        </w:rPr>
        <w:t xml:space="preserve"> 2019, 2, 841–847. doi:10.1038/s41893-019-0357-z.</w:t>
      </w:r>
    </w:p>
    <w:p>
      <w:pPr>
        <w:spacing w:after="24" w:line="210"/>
        <w:ind w:left="300" w:hanging="300"/>
        <w:jc w:val="both"/>
      </w:pPr>
      <w:r>
        <w:rPr>
          <w:rFonts w:ascii="Palatino Linotype" w:cs="Palatino Linotype" w:eastAsia="Palatino Linotype" w:hAnsi="Palatino Linotype"/>
          <w:sz w:val="16"/>
          <w:szCs w:val="16"/>
        </w:rPr>
        <w:t xml:space="preserve">12. Otto, C.; Willner, S.N.; Wenz, L.; Frieler, K.; Levermann, A. Modeling Loss-Propagation in the Global Supply Network: The Dynamic Agent-Based Model Acclimate.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2017, 83, 232–269. doi:10.1016/j.jedc.2017.08.001.</w:t>
      </w:r>
    </w:p>
    <w:p>
      <w:pPr>
        <w:spacing w:after="24" w:line="210"/>
        <w:ind w:left="300" w:hanging="300"/>
        <w:jc w:val="both"/>
      </w:pPr>
      <w:r>
        <w:rPr>
          <w:rFonts w:ascii="Palatino Linotype" w:cs="Palatino Linotype" w:eastAsia="Palatino Linotype" w:hAnsi="Palatino Linotype"/>
          <w:sz w:val="16"/>
          <w:szCs w:val="16"/>
        </w:rPr>
        <w:t xml:space="preserve">13. Allen, F.; Gale, D. Financial Contagion.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2000, 108, 1–33. doi:10.1086/262109.</w:t>
      </w:r>
    </w:p>
    <w:p>
      <w:pPr>
        <w:spacing w:after="24" w:line="210"/>
        <w:ind w:left="300" w:hanging="300"/>
        <w:jc w:val="both"/>
      </w:pPr>
      <w:r>
        <w:rPr>
          <w:rFonts w:ascii="Palatino Linotype" w:cs="Palatino Linotype" w:eastAsia="Palatino Linotype" w:hAnsi="Palatino Linotype"/>
          <w:sz w:val="16"/>
          <w:szCs w:val="16"/>
        </w:rPr>
        <w:t xml:space="preserve">14. Gai, P.; Kapadia, S. Contagion in Financial Networks. </w:t>
      </w:r>
      <w:r>
        <w:rPr>
          <w:rFonts w:ascii="Palatino Linotype" w:cs="Palatino Linotype" w:eastAsia="Palatino Linotype" w:hAnsi="Palatino Linotype"/>
          <w:i/>
          <w:iCs/>
          <w:sz w:val="16"/>
          <w:szCs w:val="16"/>
        </w:rPr>
        <w:t xml:space="preserve">Proceedings of the Royal Society A</w:t>
      </w:r>
      <w:r>
        <w:rPr>
          <w:rFonts w:ascii="Palatino Linotype" w:cs="Palatino Linotype" w:eastAsia="Palatino Linotype" w:hAnsi="Palatino Linotype"/>
          <w:sz w:val="16"/>
          <w:szCs w:val="16"/>
        </w:rPr>
        <w:t xml:space="preserve"> 2010, 466, 2401–2423. doi:10.1098/rspa.2009.0410.</w:t>
      </w:r>
    </w:p>
    <w:p>
      <w:pPr>
        <w:spacing w:after="24" w:line="210"/>
        <w:ind w:left="300" w:hanging="300"/>
        <w:jc w:val="both"/>
      </w:pPr>
      <w:r>
        <w:rPr>
          <w:rFonts w:ascii="Palatino Linotype" w:cs="Palatino Linotype" w:eastAsia="Palatino Linotype" w:hAnsi="Palatino Linotype"/>
          <w:sz w:val="16"/>
          <w:szCs w:val="16"/>
        </w:rPr>
        <w:t xml:space="preserve">15. Battiston, S.; Delli Gatti, D.; Gallegati, M.; Greenwald, B.; Stiglitz, J.E. Liaisons Dangereuses: Increasing Connectivity, Risk Sharing, and Systemic Risk.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2012, 36, 1121–1141. doi:10.1016/j.jedc.2012.04.001.</w:t>
      </w:r>
    </w:p>
    <w:p>
      <w:pPr>
        <w:spacing w:after="24" w:line="210"/>
        <w:ind w:left="300" w:hanging="300"/>
        <w:jc w:val="both"/>
      </w:pPr>
      <w:r>
        <w:rPr>
          <w:rFonts w:ascii="Palatino Linotype" w:cs="Palatino Linotype" w:eastAsia="Palatino Linotype" w:hAnsi="Palatino Linotype"/>
          <w:sz w:val="16"/>
          <w:szCs w:val="16"/>
        </w:rPr>
        <w:t xml:space="preserve">16. Elliott, M.; Golub, B.; Jackson, M.O. Financial Networks and Contagion.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2014, 104, 3115–3153. doi:10.1257/aer.104.10.3115.</w:t>
      </w:r>
    </w:p>
    <w:p>
      <w:pPr>
        <w:spacing w:after="24" w:line="210"/>
        <w:ind w:left="300" w:hanging="300"/>
        <w:jc w:val="both"/>
      </w:pPr>
      <w:r>
        <w:rPr>
          <w:rFonts w:ascii="Palatino Linotype" w:cs="Palatino Linotype" w:eastAsia="Palatino Linotype" w:hAnsi="Palatino Linotype"/>
          <w:sz w:val="16"/>
          <w:szCs w:val="16"/>
        </w:rPr>
        <w:t xml:space="preserve">17. Haldane, A.G.; May, R.M. Systemic Risk in Banking Ecosystems. </w:t>
      </w:r>
      <w:r>
        <w:rPr>
          <w:rFonts w:ascii="Palatino Linotype" w:cs="Palatino Linotype" w:eastAsia="Palatino Linotype" w:hAnsi="Palatino Linotype"/>
          <w:i/>
          <w:iCs/>
          <w:sz w:val="16"/>
          <w:szCs w:val="16"/>
        </w:rPr>
        <w:t xml:space="preserve">Nature</w:t>
      </w:r>
      <w:r>
        <w:rPr>
          <w:rFonts w:ascii="Palatino Linotype" w:cs="Palatino Linotype" w:eastAsia="Palatino Linotype" w:hAnsi="Palatino Linotype"/>
          <w:sz w:val="16"/>
          <w:szCs w:val="16"/>
        </w:rPr>
        <w:t xml:space="preserve"> 2011, 469, 351–355. doi:10.1038/nature09659.</w:t>
      </w:r>
    </w:p>
    <w:p>
      <w:pPr>
        <w:spacing w:after="24" w:line="210"/>
        <w:ind w:left="300" w:hanging="300"/>
        <w:jc w:val="both"/>
      </w:pPr>
      <w:r>
        <w:rPr>
          <w:rFonts w:ascii="Palatino Linotype" w:cs="Palatino Linotype" w:eastAsia="Palatino Linotype" w:hAnsi="Palatino Linotype"/>
          <w:sz w:val="16"/>
          <w:szCs w:val="16"/>
        </w:rPr>
        <w:t xml:space="preserve">18. Eichenbaum, M.S.; Rebelo, S.; Trabandt, M. The Macroeconomics of Epidemics. </w:t>
      </w:r>
      <w:r>
        <w:rPr>
          <w:rFonts w:ascii="Palatino Linotype" w:cs="Palatino Linotype" w:eastAsia="Palatino Linotype" w:hAnsi="Palatino Linotype"/>
          <w:i/>
          <w:iCs/>
          <w:sz w:val="16"/>
          <w:szCs w:val="16"/>
        </w:rPr>
        <w:t xml:space="preserve">Review of Financial Studies</w:t>
      </w:r>
      <w:r>
        <w:rPr>
          <w:rFonts w:ascii="Palatino Linotype" w:cs="Palatino Linotype" w:eastAsia="Palatino Linotype" w:hAnsi="Palatino Linotype"/>
          <w:sz w:val="16"/>
          <w:szCs w:val="16"/>
        </w:rPr>
        <w:t xml:space="preserve"> 2021, 34, 5149–5187. doi:10.1093/rfs/hhab040.</w:t>
      </w:r>
    </w:p>
    <w:p>
      <w:pPr>
        <w:spacing w:after="24" w:line="210"/>
        <w:ind w:left="300" w:hanging="300"/>
        <w:jc w:val="both"/>
      </w:pPr>
      <w:r>
        <w:rPr>
          <w:rFonts w:ascii="Palatino Linotype" w:cs="Palatino Linotype" w:eastAsia="Palatino Linotype" w:hAnsi="Palatino Linotype"/>
          <w:sz w:val="16"/>
          <w:szCs w:val="16"/>
        </w:rPr>
        <w:t xml:space="preserve">19. Coquidé, C.; Lages, J.; Shepelyansky, D.L. Crisis Contagion in the World Trade Network. </w:t>
      </w:r>
      <w:r>
        <w:rPr>
          <w:rFonts w:ascii="Palatino Linotype" w:cs="Palatino Linotype" w:eastAsia="Palatino Linotype" w:hAnsi="Palatino Linotype"/>
          <w:i/>
          <w:iCs/>
          <w:sz w:val="16"/>
          <w:szCs w:val="16"/>
        </w:rPr>
        <w:t xml:space="preserve">Applied Network Science</w:t>
      </w:r>
      <w:r>
        <w:rPr>
          <w:rFonts w:ascii="Palatino Linotype" w:cs="Palatino Linotype" w:eastAsia="Palatino Linotype" w:hAnsi="Palatino Linotype"/>
          <w:sz w:val="16"/>
          <w:szCs w:val="16"/>
        </w:rPr>
        <w:t xml:space="preserve"> 2020, 5, 67. doi:10.1007/s41109-020-00304-z.</w:t>
      </w:r>
    </w:p>
    <w:p>
      <w:pPr>
        <w:spacing w:after="24" w:line="210"/>
        <w:ind w:left="300" w:hanging="300"/>
        <w:jc w:val="both"/>
      </w:pPr>
      <w:r>
        <w:rPr>
          <w:rFonts w:ascii="Palatino Linotype" w:cs="Palatino Linotype" w:eastAsia="Palatino Linotype" w:hAnsi="Palatino Linotype"/>
          <w:sz w:val="16"/>
          <w:szCs w:val="16"/>
        </w:rPr>
        <w:t xml:space="preserve">20. Acemoglu, D.; Ozdaglar, A.; Tahbaz-Salehi, A. Systemic Risk and Stability in Financial Networks.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2015, 105, 564–608. doi:10.1257/aer.20130456.</w:t>
      </w:r>
    </w:p>
    <w:p>
      <w:pPr>
        <w:spacing w:after="24" w:line="210"/>
        <w:ind w:left="300" w:hanging="300"/>
        <w:jc w:val="both"/>
      </w:pPr>
      <w:r>
        <w:rPr>
          <w:rFonts w:ascii="Palatino Linotype" w:cs="Palatino Linotype" w:eastAsia="Palatino Linotype" w:hAnsi="Palatino Linotype"/>
          <w:sz w:val="16"/>
          <w:szCs w:val="16"/>
        </w:rPr>
        <w:t xml:space="preserve">21. Starnini, M.; Boguñá, M.; Serrano, M.Á. Shock Propagation on Global Trade-Investment Multiplex Networks. </w:t>
      </w:r>
      <w:r>
        <w:rPr>
          <w:rFonts w:ascii="Palatino Linotype" w:cs="Palatino Linotype" w:eastAsia="Palatino Linotype" w:hAnsi="Palatino Linotype"/>
          <w:i/>
          <w:iCs/>
          <w:sz w:val="16"/>
          <w:szCs w:val="16"/>
        </w:rPr>
        <w:t xml:space="preserve">Scientific Reports</w:t>
      </w:r>
      <w:r>
        <w:rPr>
          <w:rFonts w:ascii="Palatino Linotype" w:cs="Palatino Linotype" w:eastAsia="Palatino Linotype" w:hAnsi="Palatino Linotype"/>
          <w:sz w:val="16"/>
          <w:szCs w:val="16"/>
        </w:rPr>
        <w:t xml:space="preserve"> 2019, 9, 13079. doi:10.1038/s41598-019-49173-2.</w:t>
      </w:r>
    </w:p>
    <w:p>
      <w:pPr>
        <w:spacing w:after="24" w:line="210"/>
        <w:ind w:left="300" w:hanging="300"/>
        <w:jc w:val="both"/>
      </w:pPr>
      <w:r>
        <w:rPr>
          <w:rFonts w:ascii="Palatino Linotype" w:cs="Palatino Linotype" w:eastAsia="Palatino Linotype" w:hAnsi="Palatino Linotype"/>
          <w:sz w:val="16"/>
          <w:szCs w:val="16"/>
        </w:rPr>
        <w:t xml:space="preserve">22. Hidalgo, C.A.; Hausmann, R. The Building Blocks of Economic Complexity.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2009, 106, 10570–10575. doi:10.1073/pnas.0900943106.</w:t>
      </w:r>
    </w:p>
    <w:p>
      <w:pPr>
        <w:spacing w:after="24" w:line="210"/>
        <w:ind w:left="300" w:hanging="300"/>
        <w:jc w:val="both"/>
      </w:pPr>
      <w:r>
        <w:rPr>
          <w:rFonts w:ascii="Palatino Linotype" w:cs="Palatino Linotype" w:eastAsia="Palatino Linotype" w:hAnsi="Palatino Linotype"/>
          <w:sz w:val="16"/>
          <w:szCs w:val="16"/>
        </w:rPr>
        <w:t xml:space="preserve">23. Caliendo, L.; Parro, F.; Rossi-Hansberg, E.; Sarte, P.-D. The Impact of Regional and Sectoral Productivity Changes on the U.S. Economy. </w:t>
      </w:r>
      <w:r>
        <w:rPr>
          <w:rFonts w:ascii="Palatino Linotype" w:cs="Palatino Linotype" w:eastAsia="Palatino Linotype" w:hAnsi="Palatino Linotype"/>
          <w:i/>
          <w:iCs/>
          <w:sz w:val="16"/>
          <w:szCs w:val="16"/>
        </w:rPr>
        <w:t xml:space="preserve">Review of Economic Studies</w:t>
      </w:r>
      <w:r>
        <w:rPr>
          <w:rFonts w:ascii="Palatino Linotype" w:cs="Palatino Linotype" w:eastAsia="Palatino Linotype" w:hAnsi="Palatino Linotype"/>
          <w:sz w:val="16"/>
          <w:szCs w:val="16"/>
        </w:rPr>
        <w:t xml:space="preserve"> 2018, 85, 2042–2096. doi:10.1093/restud/rdx082.</w:t>
      </w:r>
    </w:p>
    <w:p>
      <w:pPr>
        <w:spacing w:after="24" w:line="210"/>
        <w:ind w:left="300" w:hanging="300"/>
        <w:jc w:val="both"/>
      </w:pPr>
      <w:r>
        <w:rPr>
          <w:rFonts w:ascii="Palatino Linotype" w:cs="Palatino Linotype" w:eastAsia="Palatino Linotype" w:hAnsi="Palatino Linotype"/>
          <w:sz w:val="16"/>
          <w:szCs w:val="16"/>
        </w:rPr>
        <w:t xml:space="preserve">24. Eaton, J.; Kortum, S. Technology, Geography, and Trade.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2002, 70, 1741–1779. doi:10.1111/1468-0262.00352.</w:t>
      </w:r>
    </w:p>
    <w:p>
      <w:pPr>
        <w:spacing w:after="24" w:line="210"/>
        <w:ind w:left="300" w:hanging="300"/>
        <w:jc w:val="both"/>
      </w:pPr>
      <w:r>
        <w:rPr>
          <w:rFonts w:ascii="Palatino Linotype" w:cs="Palatino Linotype" w:eastAsia="Palatino Linotype" w:hAnsi="Palatino Linotype"/>
          <w:sz w:val="16"/>
          <w:szCs w:val="16"/>
        </w:rPr>
        <w:t xml:space="preserve">25. OECD. Inter-Country Input-Output (ICIO) Tables, 2025 Edition (Year 2019); OECD: Paris, 2025.</w:t>
      </w:r>
    </w:p>
    <w:p>
      <w:pPr>
        <w:spacing w:after="24" w:line="210"/>
        <w:ind w:left="300" w:hanging="300"/>
        <w:jc w:val="both"/>
      </w:pPr>
      <w:r>
        <w:rPr>
          <w:rFonts w:ascii="Palatino Linotype" w:cs="Palatino Linotype" w:eastAsia="Palatino Linotype" w:hAnsi="Palatino Linotype"/>
          <w:sz w:val="16"/>
          <w:szCs w:val="16"/>
        </w:rPr>
        <w:t xml:space="preserve">26. International Monetary Fund. PortWatch: Daily Chokepoint Transit Data; IMF: Washington, DC, 2021–2024.</w:t>
      </w:r>
    </w:p>
    <w:p>
      <w:pPr>
        <w:spacing w:after="24" w:line="210"/>
        <w:ind w:left="300" w:hanging="300"/>
        <w:jc w:val="both"/>
      </w:pPr>
      <w:r>
        <w:rPr>
          <w:rFonts w:ascii="Palatino Linotype" w:cs="Palatino Linotype" w:eastAsia="Palatino Linotype" w:hAnsi="Palatino Linotype"/>
          <w:sz w:val="16"/>
          <w:szCs w:val="16"/>
        </w:rPr>
        <w:t xml:space="preserve">27. OICA; JAMA; VDA; SIA. Industry Motor-Vehicle and Semiconductor Production Statistics, 1999–2023.</w:t>
      </w:r>
    </w:p>
    <w:p>
      <w:pPr>
        <w:keepNext/>
        <w:spacing w:after="70" w:before="200"/>
      </w:pPr>
      <w:r>
        <w:rPr>
          <w:rFonts w:ascii="Palatino Linotype" w:cs="Palatino Linotype" w:eastAsia="Palatino Linotype" w:hAnsi="Palatino Linotype"/>
          <w:b/>
          <w:bCs/>
          <w:color w:val="1A1A1A"/>
          <w:sz w:val="21"/>
          <w:szCs w:val="21"/>
        </w:rPr>
        <w:t xml:space="preserve">Appendix A. Full event benchmark (N=27)</w:t>
      </w:r>
    </w:p>
    <w:p>
      <w:pPr>
        <w:spacing w:after="20" w:line="240"/>
        <w:jc w:val="both"/>
      </w:pPr>
      <w:r>
        <w:rPr>
          <w:rFonts w:ascii="Palatino Linotype" w:cs="Palatino Linotype" w:eastAsia="Palatino Linotype" w:hAnsi="Palatino Linotype"/>
          <w:sz w:val="19"/>
          <w:szCs w:val="19"/>
        </w:rPr>
        <w:t xml:space="preserve">Generated from seed_data.py; per-event primary sources are line-by-line in historical_events.csv. “Magn.” is the source-side shock magnitude (model input), “Target” is the observed loss (validation output).</w:t>
      </w:r>
    </w:p>
    <w:p>
      <w:pPr>
        <w:sectPr>
          <w:type w:val="continuous"/>
          <w:pgSz w:w="11906" w:h="16838" w:orient="portrait"/>
          <w:pgMar w:top="1134" w:right="1134" w:bottom="1134" w:left="1134" w:header="708" w:footer="708" w:gutter="0"/>
          <w:pgNumType/>
          <w:cols w:space="454" w:num="2" w:equalWidth="true"/>
          <w:docGrid w:linePitch="360"/>
        </w:sectPr>
      </w:pP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0"/>
        <w:gridCol w:w="3778"/>
        <w:gridCol w:w="2600"/>
        <w:gridCol w:w="900"/>
        <w:gridCol w:w="900"/>
        <w:gridCol w:w="900"/>
      </w:tblGrid>
      <w:tr>
        <w:trPr>
          <w:tblHeader/>
        </w:trPr>
        <w:tc>
          <w:tcPr>
            <w:tcW w:type="dxa" w:w="56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w:t>
            </w:r>
          </w:p>
        </w:tc>
        <w:tc>
          <w:tcPr>
            <w:tcW w:type="dxa" w:w="377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Event</w:t>
            </w:r>
          </w:p>
        </w:tc>
        <w:tc>
          <w:tcPr>
            <w:tcW w:type="dxa" w:w="2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Magn.</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Dur.</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Target</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covid-semiconductor-2020-2021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suez-canal-2021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auto-chip-shortage-2021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japan-triple-disaster-2011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0.039</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us-china-tariffs-2019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texas-winter-storm-2021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eu-energy-crisis-2021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malaysia-semiconductor-2021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MYS:semiconductors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thailand-floods-2011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kumamoto-earthquake-2016</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renesas-naka-fire-2021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13</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japan-korea-export-controls-2019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vietnam-covid-lockdown-2021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VNM:electronics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shanghai-lockdown-2022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ukraine-war-harness-2022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china-power-crunch-2021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yantian-port-closure-2021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red-sea-crisis-2023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taiwan-drought-2021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india-covid-wave-2021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taiwan-chichi-earthquake-1999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hurricane-harvey-2017</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USA:consumer_goods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us-west-coast-ports-2015</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korea-trucker-strikes-2022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panama-canal-drought-2023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CP:Panama</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gfc-auto-collapse-2008-2009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39</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0.130</w:t>
            </w:r>
          </w:p>
        </w:tc>
      </w:tr>
    </w:tbl>
    <w:p>
      <w:pPr>
        <w:sectPr>
          <w:type w:val="continuous"/>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Appendix B. Reproducibility</w:t>
      </w:r>
    </w:p>
    <w:p>
      <w:pPr>
        <w:spacing w:after="20" w:line="240"/>
        <w:jc w:val="both"/>
      </w:pPr>
      <w:r>
        <w:rPr>
          <w:rFonts w:ascii="Palatino Linotype" w:cs="Palatino Linotype" w:eastAsia="Palatino Linotype" w:hAnsi="Palatino Linotype"/>
          <w:sz w:val="19"/>
          <w:szCs w:val="19"/>
        </w:rPr>
        <w:t xml:space="preserve">All numbers in the paper regenerate from the repository:</w:t>
      </w:r>
    </w:p>
    <w:tbl>
      <w:tblPr>
        <w:tblW w:type="dxa" w:w="9638"/>
        <w:tblBorders>
          <w:top w:val="single" w:color="D7E2DB" w:sz="3"/>
          <w:left w:val="single" w:color="D7E2DB" w:sz="3"/>
          <w:bottom w:val="single" w:color="D7E2DB" w:sz="3"/>
          <w:right w:val="single" w:color="D7E2DB" w:sz="3"/>
          <w:insideH w:val="none" w:color="FFFFFF" w:sz="0"/>
          <w:insideV w:val="none" w:color="FFFFFF" w:sz="0"/>
        </w:tblBorders>
      </w:tblPr>
      <w:tblGrid>
        <w:gridCol w:w="9638"/>
      </w:tblGrid>
      <w:tr>
        <w:tc>
          <w:tcPr>
            <w:tcW w:type="dxa" w:w="9638"/>
            <w:shd w:fill="F2F2F0" w:val="clear"/>
            <w:tcMar>
              <w:top w:type="dxa" w:w="80"/>
              <w:left w:type="dxa" w:w="120"/>
              <w:bottom w:type="dxa" w:w="80"/>
              <w:right w:type="dxa" w:w="120"/>
            </w:tcMar>
          </w:tcPr>
          <w:p>
            <w:pPr>
              <w:spacing w:after="0" w:line="220"/>
            </w:pPr>
            <w:r>
              <w:rPr>
                <w:rFonts w:ascii="Consolas" w:cs="Consolas" w:eastAsia="Consolas" w:hAnsi="Consolas"/>
                <w:sz w:val="16"/>
                <w:szCs w:val="16"/>
              </w:rPr>
              <w:t xml:space="preserve">cd backend</w:t>
            </w:r>
          </w:p>
          <w:p>
            <w:pPr>
              <w:spacing w:after="0" w:line="220"/>
            </w:pPr>
            <w:r>
              <w:rPr>
                <w:rFonts w:ascii="Consolas" w:cs="Consolas" w:eastAsia="Consolas" w:hAnsi="Consolas"/>
                <w:sz w:val="16"/>
                <w:szCs w:val="16"/>
              </w:rPr>
              <w:t xml:space="preserve">python -m scripts.significance_analysis   # significance.json (6.1, 6.2)</w:t>
            </w:r>
          </w:p>
          <w:p>
            <w:pPr>
              <w:spacing w:after="0" w:line="220"/>
            </w:pPr>
            <w:r>
              <w:rPr>
                <w:rFonts w:ascii="Consolas" w:cs="Consolas" w:eastAsia="Consolas" w:hAnsi="Consolas"/>
                <w:sz w:val="16"/>
                <w:szCs w:val="16"/>
              </w:rPr>
              <w:t xml:space="preserve">python -m scripts.power_analysis          # power_analysis.json (6.4)</w:t>
            </w:r>
          </w:p>
          <w:p>
            <w:pPr>
              <w:spacing w:after="0" w:line="220"/>
            </w:pPr>
            <w:r>
              <w:rPr>
                <w:rFonts w:ascii="Consolas" w:cs="Consolas" w:eastAsia="Consolas" w:hAnsi="Consolas"/>
                <w:sz w:val="16"/>
                <w:szCs w:val="16"/>
              </w:rPr>
              <w:t xml:space="preserve">python -m scripts.isef_figures            # 4 figures + CSVs</w:t>
            </w:r>
          </w:p>
          <w:p>
            <w:pPr>
              <w:spacing w:after="0" w:line="220"/>
            </w:pPr>
            <w:r>
              <w:rPr>
                <w:rFonts w:ascii="Consolas" w:cs="Consolas" w:eastAsia="Consolas" w:hAnsi="Consolas"/>
                <w:sz w:val="16"/>
                <w:szCs w:val="16"/>
              </w:rPr>
              <w:t xml:space="preserve">python -m scripts.results_onepager        # docs/RESULTS.md</w:t>
            </w:r>
          </w:p>
          <w:p>
            <w:pPr>
              <w:spacing w:after="0" w:line="220"/>
            </w:pPr>
            <w:r>
              <w:rPr>
                <w:rFonts w:ascii="Consolas" w:cs="Consolas" w:eastAsia="Consolas" w:hAnsi="Consolas"/>
                <w:sz w:val="16"/>
                <w:szCs w:val="16"/>
              </w:rPr>
              <w:t xml:space="preserve">python -c 'from app.core.ablation import run_ablation_study,save_ablation;</w:t>
            </w:r>
          </w:p>
          <w:p>
            <w:pPr>
              <w:spacing w:after="0" w:line="220"/>
            </w:pPr>
            <w:r>
              <w:rPr>
                <w:rFonts w:ascii="Consolas" w:cs="Consolas" w:eastAsia="Consolas" w:hAnsi="Consolas"/>
                <w:sz w:val="16"/>
                <w:szCs w:val="16"/>
              </w:rPr>
              <w:t xml:space="preserve">          save_ablation(run_ablation_study())'   # ablation (6.6)</w:t>
            </w:r>
          </w:p>
          <w:p>
            <w:pPr>
              <w:spacing w:after="0" w:line="220"/>
            </w:pPr>
            <w:r>
              <w:rPr>
                <w:rFonts w:ascii="Consolas" w:cs="Consolas" w:eastAsia="Consolas" w:hAnsi="Consolas"/>
                <w:sz w:val="16"/>
                <w:szCs w:val="16"/>
              </w:rPr>
              <w:t xml:space="preserve">python -c 'from app.core.sensitivity import run_sobol,save_sobol;</w:t>
            </w:r>
          </w:p>
          <w:p>
            <w:pPr>
              <w:spacing w:after="0" w:line="220"/>
            </w:pPr>
            <w:r>
              <w:rPr>
                <w:rFonts w:ascii="Consolas" w:cs="Consolas" w:eastAsia="Consolas" w:hAnsi="Consolas"/>
                <w:sz w:val="16"/>
                <w:szCs w:val="16"/>
              </w:rPr>
              <w:t xml:space="preserve">          save_sobol(run_sobol())'   # Sobol (6.7)</w:t>
            </w:r>
          </w:p>
          <w:p>
            <w:pPr>
              <w:spacing w:after="0" w:line="220"/>
            </w:pPr>
            <w:r>
              <w:rPr>
                <w:rFonts w:ascii="Consolas" w:cs="Consolas" w:eastAsia="Consolas" w:hAnsi="Consolas"/>
                <w:sz w:val="16"/>
                <w:szCs w:val="16"/>
              </w:rPr>
              <w:t xml:space="preserve">python -m scripts.identifiability_audit       # identifiability audit (6.7)</w:t>
            </w:r>
          </w:p>
          <w:p>
            <w:pPr>
              <w:spacing w:after="0" w:line="220"/>
            </w:pPr>
            <w:r>
              <w:rPr>
                <w:rFonts w:ascii="Consolas" w:cs="Consolas" w:eastAsia="Consolas" w:hAnsi="Consolas"/>
                <w:sz w:val="16"/>
                <w:szCs w:val="16"/>
              </w:rPr>
              <w:t xml:space="preserve">python -m scripts.spatial_recall_robustness   # reach-threshold sweep (6.5)</w:t>
            </w:r>
          </w:p>
          <w:p>
            <w:pPr>
              <w:spacing w:after="0" w:line="220"/>
            </w:pPr>
            <w:r>
              <w:rPr>
                <w:rFonts w:ascii="Consolas" w:cs="Consolas" w:eastAsia="Consolas" w:hAnsi="Consolas"/>
                <w:sz w:val="16"/>
                <w:szCs w:val="16"/>
              </w:rPr>
              <w:t xml:space="preserve">python -m pytest                              # 146 tests, all green</w:t>
            </w:r>
          </w:p>
        </w:tc>
      </w:tr>
    </w:tbl>
    <w:sectPr>
      <w:type w:val="continuous"/>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1A"/>
        <w:sz w:val="19"/>
        <w:szCs w:val="19"/>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523aa1ade757e495c443f46889ee0a5b946639.png"/><Relationship Id="rId8" Type="http://schemas.openxmlformats.org/officeDocument/2006/relationships/image" Target="media/171df3e3575383b655b04a9426bb257c8bc24438.png"/><Relationship Id="rId9" Type="http://schemas.openxmlformats.org/officeDocument/2006/relationships/image" Target="media/d823a4fac61c80987e17c1332d8dc51dd27bbfc4.png"/><Relationship Id="rId10" Type="http://schemas.openxmlformats.org/officeDocument/2006/relationships/image" Target="media/b46fe7d0f644b4f60d88d0ddc3fd2f9a0a85fa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GEDS — three-axis validation (preprint)</dc:title>
  <dc:creator>GEDS</dc:creator>
  <cp:lastModifiedBy>Un-named</cp:lastModifiedBy>
  <cp:revision>1</cp:revision>
  <dcterms:created xsi:type="dcterms:W3CDTF">2026-08-06T18:02:56.044Z</dcterms:created>
  <dcterms:modified xsi:type="dcterms:W3CDTF">2026-08-06T18:02:56.044Z</dcterms:modified>
</cp:coreProperties>
</file>

<file path=docProps/custom.xml><?xml version="1.0" encoding="utf-8"?>
<Properties xmlns="http://schemas.openxmlformats.org/officeDocument/2006/custom-properties" xmlns:vt="http://schemas.openxmlformats.org/officeDocument/2006/docPropsVTypes"/>
</file>