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отвечает на вопрос, какие части несут вес, и главное в ответе — что таблица НЕ является ранжированием компонентов. Ни одна из шести разностей не отличима от нуля: все 95% ДИ накрывают ноль, все p после поправки Холма равны 1,00. Каждая |ΔMAE| здесь (максимум 0,0076) меньше собственного минимального детектируемого эффекта бенчмарка (0,018 при мощности 80%). При N=27 бенчмарк не способен отличить ни один компонент движка от любого другого. Точечные оценки указывают в одну сторону — SEIS-машина (−0,0076) и пол гистерезиса (−0,0074) стоят точности, причём разница между ними (0,0002) означает, что практически вся цена SEIRS это пол R-состояния, а не переходы S/E/I, — но заявлять это как результат нельзя: сигнал ниже разрешения набора. Примечание об исправлении: в предыдущей версии строка «−SEIS» показывала 0,0242 и ΔMAE ровно 0,0000; это была ошибка кода (флаг seis_enabled не действовал, update_seis вызывался безусловно), а не свойство модели. Настоящая абляция даёт 0,0166; заголовочные числа §6.1 не затронуты.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1400"/>
        <w:gridCol w:w="3400"/>
        <w:gridCol w:w="12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 [95% ДИ]</w:t>
            </w:r>
          </w:p>
        </w:tc>
        <w:tc>
          <w:tcPr>
            <w:tcW w:type="dxa" w:w="1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 (Холм)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−0,0076 [−0,0206;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 [−0,0200;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 [−0,0182;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 [−0,0029;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−0,0000 [−0,0001;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 [−0,0009; +0,0079]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сырое p = 0,037. Но это сравнение входит в семейство из пяти сравнений против одной опорной модели, и после поправки Холма скорректированное p = 0,18: значимых различий в семействе ноль. В предыдущей версии работы это сравнение объявлялось «единственным статистически значимым различием моделей»; корректная формулировка — на оси магнитуды в работе нет ни одного различия, устоявшего против поправки на множественность. Точечный результат тем не менее указывает туда же, куда и всё остальное: на графе из 405 узлов при ~23 обучающих событиях на фолд четыре дополнительные степени свободы не окупаются. Результат согласуется с §6.6 (ни одна абляция не значима), §6.7 (три из пяти параметров упираются в границы априорного ящика, один гуляет в 35 раз при удалении одного события) и §6.1 (не хватает мощности) — четыре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Справилось бы машинное обучение?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Естественное возражение к §6.1: возможно, дело не в объёме данных, а в том, что все четыре модели механистические. Проверено напрямую — три обучаемые модели на 11 признаках события, известных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исхода (магнитуда, длительность, горизонт, число шоков, форма форсирования, признак чокпойнта, доля узла в мировом ВВП, центральность, исходящая степень, произведение магнитуды на длительность). Оценка leave-one-out: каждое событие предсказывается моделью, которая его не видела (Таблица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Обучаемые модели против механистических: leave-one-out, 11 признаков, известных до исхода.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Тип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Градиентный бустинг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Случайный лес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Гребневая регрессия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тривиальная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Градиентный бустинг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лучшую MAE среди всех моделей работы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но против наивного среднего ΔMAE = −0,0066, 95% ДИ [−0,0126; +0,0008], p = 0,066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остальные два алгоритма дальше (p = 0,28 и 0,52).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Методологическая находка, обнаруженная в ходе этой проверки.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Первая версия признаков включала one-hot поля observed.most_impacted_industry. Механистические бейслайны его тоже читают, но лишь для выбора отчитываемого агрегата, тогда как обучаемая модель может извлечь из него информацию об исходе. С этим признаком бустинг давал MAE 0,0114 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обыгрывал наивное среднее (p = 0,015); без него значимость исчезает. Признак удалён, обе версии зафиксированы в артефакте — сам разрыв показывает, насколько легко при N=27 принять утечку за открытие.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Вывод согласуется с §6.4: потолок задаётся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данными, а не выбором модели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Оговорка: 27 событий и 11 признаков — режим, тяжёлый для любого алгоритма, и это не доказательство, что машинное обучение не сработает на большем бенчмарке.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8.2. Третий путь к росту N: чокпойнты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После отказа маршрута «база катастроф × индексы производства» (§8.1) оставался третий, теоретически самый чистый: морские узкие места. Сбой в проливе — supply-side по построению, а число проходов судов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само является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величиной события. Ежедневный ряд IMF PortWatch (77 389 наблюдений, 28 проливов, 2019–2026) получен и включён в репозиторий; детектор ищет недели, где транзит падает более чем на 15% относительно скользящей медианы.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Детектор валидируется на известном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он самостоятельно находит оба чокпойнт-события, уже входящие в бенчмарк: кризис в Красном море 2023–24 (Суэц, пик −48,3%) и засуху Панамского канала (−40,0%).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Но новых пригодных событий не дал: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из 19 эпизодов два — названные, четыре приходятся на ковидный 2020 год, а бо́льшая часть остальных — сезонный зимний спад Ормуза (декабрь на 28% тише августа). Так закрылся и третий маршрут: N остаётся 27, и это результат проверки, а не недоработка.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Опровергнутая цифра.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 рабочий лог ранее было записано событие «учения в Тайваньском проливе, август 2022» с падением транзита 22% со ссылкой на IMF PortWatch. По первичному ряду худшая неделя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−5,6%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против базы апреля–июня (1593 против 1687 проходов в неделю). Заявленных 22% в данных нет, эпизод не проходит даже 15-процентный порог детектора. Запись исправлена и сохранена как задокументированное ложное срабатывание.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Крупнейшее нарушение за весь период — и почему его нельзя включить.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Закрытие Ормузского пролива в 2026: недельный транзит обрушивается с 561 до 25 судов на неделе 8 марта и держится в диапазоне 14–107 до июня — пик дефицита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95,5%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глубже Ever Given (0,96, но несколько дней) и много продолжительнее Красного моря (0,48). Совпадает с объявлением о закрытии 2 марта 2026 и сообщением IMO от 21 апреля о ~2000 запертых судов. Альтернатива проверена: PortWatch пересматривал границы Ормуза в марте 2026, но изменение определения дало бы ступеньку на новый устойчивый уровень, а ряд показывает обвал за неделю с рваным восстановлением.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Событие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измерено, но не включено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и причина методологически показательна: оно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ещё продолжается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 момент среза данных. Отраслевых потерь за 2026 год не опубликовало ни одно агентство — наблюдаемой цели физически не существует, а длительность восстановления у незакончившегося события не определена. Самое сильное событие в наборе нельзя использовать именно потому, что оно слишком свежее.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146 автотестов, все зелёные.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scripts.identifiability_audit       # аудит идентифицируемости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scripts.spatial_recall_robustness   # прогон по порогу (6.5)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                             # 146 тестов, все зелёные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2026-08-06T18:02:55.595Z</dcterms:created>
  <dcterms:modified xsi:type="dcterms:W3CDTF">2026-08-06T18:02:55.595Z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