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Provider Benchmark Notes</w:t>
      </w:r>
    </w:p>
    <w:p>
      <w:r>
        <w:t>This document summarizes a small internal benchmark comparing LLM provider latency across the three profiles we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Avg Latency (ms)</w:t>
            </w:r>
          </w:p>
        </w:tc>
      </w:tr>
      <w:tr>
        <w:tc>
          <w:tcPr>
            <w:tcW w:type="dxa" w:w="2880"/>
          </w:tcPr>
          <w:p>
            <w:r>
              <w:t>OpenAI (hosted)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Internal gateway</w:t>
            </w:r>
          </w:p>
        </w:tc>
        <w:tc>
          <w:tcPr>
            <w:tcW w:type="dxa" w:w="2880"/>
          </w:tcPr>
          <w:p>
            <w:r>
              <w:t>internal-llama-70b</w:t>
            </w:r>
          </w:p>
        </w:tc>
        <w:tc>
          <w:tcPr>
            <w:tcW w:type="dxa" w:w="2880"/>
          </w:tcPr>
          <w:p>
            <w:r>
              <w:t>340</w:t>
            </w:r>
          </w:p>
        </w:tc>
      </w:tr>
      <w:tr>
        <w:tc>
          <w:tcPr>
            <w:tcW w:type="dxa" w:w="2880"/>
          </w:tcPr>
          <w:p>
            <w:r>
              <w:t>Local (MPS)</w:t>
            </w:r>
          </w:p>
        </w:tc>
        <w:tc>
          <w:tcPr>
            <w:tcW w:type="dxa" w:w="2880"/>
          </w:tcPr>
          <w:p>
            <w:r>
              <w:t>all-MiniLM-L6-v2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</w:tbl>
    <w:p>
      <w:r>
        <w:t>The chart below plots the same numbers for a quick visual comparison.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Local inference was fastest for this workload on this benchmark.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