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006" w:rsidRDefault="00F14006" w:rsidP="00F14006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  <w:r w:rsidRPr="00F14006">
        <w:rPr>
          <w:rFonts w:ascii="Arial,Bold" w:hAnsi="Arial,Bold" w:cs="Arial,Bold"/>
          <w:bCs/>
          <w:sz w:val="24"/>
          <w:szCs w:val="24"/>
        </w:rPr>
        <w:t>[source;block=begin]</w:t>
      </w:r>
    </w:p>
    <w:p w:rsidR="00F14006" w:rsidRPr="00F14006" w:rsidRDefault="00F14006" w:rsidP="00F14006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</w:p>
    <w:p w:rsidR="00BB224E" w:rsidRPr="000B0C67" w:rsidRDefault="00BB224E" w:rsidP="00E2757C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 w:rsidRPr="000B0C67">
        <w:rPr>
          <w:rFonts w:ascii="Arial,Bold" w:hAnsi="Arial,Bold" w:cs="Arial,Bold"/>
          <w:b/>
          <w:bCs/>
          <w:sz w:val="24"/>
          <w:szCs w:val="24"/>
        </w:rPr>
        <w:t>ART. 16</w:t>
      </w:r>
    </w:p>
    <w:p w:rsidR="00BB224E" w:rsidRPr="000B0C67" w:rsidRDefault="00BB224E" w:rsidP="00E2757C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  <w:u w:val="single"/>
        </w:rPr>
      </w:pPr>
      <w:r w:rsidRPr="000B0C67">
        <w:rPr>
          <w:rFonts w:ascii="Arial,Bold" w:hAnsi="Arial,Bold" w:cs="Arial,Bold"/>
          <w:b/>
          <w:bCs/>
          <w:sz w:val="24"/>
          <w:szCs w:val="24"/>
          <w:u w:val="single"/>
        </w:rPr>
        <w:t>SOTTOZONE B1</w:t>
      </w:r>
    </w:p>
    <w:p w:rsidR="00BB224E" w:rsidRDefault="00BB224E" w:rsidP="00E2757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</w:t>
      </w:r>
      <w:r>
        <w:rPr>
          <w:rFonts w:ascii="Arial,Bold" w:hAnsi="Arial,Bold" w:cs="Arial,Bold"/>
          <w:b/>
          <w:bCs/>
          <w:sz w:val="24"/>
          <w:szCs w:val="24"/>
        </w:rPr>
        <w:t xml:space="preserve">P.R.G. </w:t>
      </w:r>
      <w:r>
        <w:rPr>
          <w:rFonts w:ascii="Arial" w:hAnsi="Arial" w:cs="Arial"/>
          <w:sz w:val="24"/>
          <w:szCs w:val="24"/>
        </w:rPr>
        <w:t>sulla base dei caratteri dell’insediamento riferiti all'indice di fabbricazione e</w:t>
      </w:r>
      <w:r w:rsidR="00246B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alle tipologie edilizie prevalenti, attribuisce alle sottozone i seguenti indici di fabbricabilità</w:t>
      </w:r>
      <w:r w:rsidR="00246B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fondiaria:</w:t>
      </w:r>
    </w:p>
    <w:p w:rsidR="00BB224E" w:rsidRDefault="00BB224E" w:rsidP="00E2757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sottozona B1: iff =</w:t>
      </w:r>
      <w:r w:rsidR="00EB757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7 mc/mq con obbligo di Piano Particolareggiato</w:t>
      </w:r>
      <w:r w:rsidR="00246B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 mc/mq con concessione edilizia diretta</w:t>
      </w:r>
    </w:p>
    <w:p w:rsidR="00246B37" w:rsidRDefault="00EB7573" w:rsidP="00E2757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N.B. -</w:t>
      </w:r>
      <w:r w:rsidR="00BB224E">
        <w:rPr>
          <w:rFonts w:ascii="Arial" w:hAnsi="Arial" w:cs="Arial"/>
          <w:sz w:val="24"/>
          <w:szCs w:val="24"/>
        </w:rPr>
        <w:t xml:space="preserve"> Nelle zone </w:t>
      </w:r>
      <w:r w:rsidR="00BB224E">
        <w:rPr>
          <w:rFonts w:ascii="Arial,Bold" w:hAnsi="Arial,Bold" w:cs="Arial,Bold"/>
          <w:b/>
          <w:bCs/>
          <w:sz w:val="24"/>
          <w:szCs w:val="24"/>
        </w:rPr>
        <w:t xml:space="preserve">B1 </w:t>
      </w:r>
      <w:r w:rsidR="00BB224E">
        <w:rPr>
          <w:rFonts w:ascii="Arial" w:hAnsi="Arial" w:cs="Arial"/>
          <w:sz w:val="24"/>
          <w:szCs w:val="24"/>
        </w:rPr>
        <w:t>non possono essere rilasciate, in alcun caso, concessioni</w:t>
      </w:r>
      <w:r w:rsidR="00246B37">
        <w:rPr>
          <w:rFonts w:ascii="Arial" w:hAnsi="Arial" w:cs="Arial"/>
          <w:sz w:val="24"/>
          <w:szCs w:val="24"/>
        </w:rPr>
        <w:t xml:space="preserve"> </w:t>
      </w:r>
      <w:r w:rsidR="00BB224E">
        <w:rPr>
          <w:rFonts w:ascii="Arial" w:hAnsi="Arial" w:cs="Arial"/>
          <w:sz w:val="24"/>
          <w:szCs w:val="24"/>
        </w:rPr>
        <w:t>edilizie con indice di fabbricabilità fondiaria superiore a 3 mc/mq se non in presenza di</w:t>
      </w:r>
      <w:r w:rsidR="00246B37">
        <w:rPr>
          <w:rFonts w:ascii="Arial" w:hAnsi="Arial" w:cs="Arial"/>
          <w:sz w:val="24"/>
          <w:szCs w:val="24"/>
        </w:rPr>
        <w:t xml:space="preserve"> </w:t>
      </w:r>
      <w:r w:rsidR="00BB224E">
        <w:rPr>
          <w:rFonts w:ascii="Arial" w:hAnsi="Arial" w:cs="Arial"/>
          <w:sz w:val="24"/>
          <w:szCs w:val="24"/>
        </w:rPr>
        <w:t>formale Piano Particolareggiato o di lottizzazione convenzionata.</w:t>
      </w:r>
    </w:p>
    <w:p w:rsidR="00246B37" w:rsidRDefault="00246B37" w:rsidP="00E2757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B224E" w:rsidRDefault="00BB224E" w:rsidP="00E2757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tipologie edilizie sono libere purché risultino validamente inserite nel disegno urbano</w:t>
      </w:r>
      <w:r w:rsidR="00246B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già definito; tuttavia al fine di garantire un risultato più omogeneo si prescrivono le</w:t>
      </w:r>
      <w:r w:rsidR="00246B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seguenti norme:</w:t>
      </w:r>
    </w:p>
    <w:p w:rsidR="00BB224E" w:rsidRDefault="00BB224E" w:rsidP="00E2757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un rapporto di copertura nel lotto non superiore ad 1/2;</w:t>
      </w:r>
    </w:p>
    <w:p w:rsidR="00BB224E" w:rsidRDefault="00BB224E" w:rsidP="00E2757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un'altezza, nel rispetto dei vincoli panoramici vigenti, non superiore a m 21;</w:t>
      </w:r>
    </w:p>
    <w:p w:rsidR="00BB224E" w:rsidRDefault="00BB224E" w:rsidP="00E2757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un distacco minimo di m 10 tra pareti finestrati di vani abitabili non altrimenti finestrati;</w:t>
      </w:r>
    </w:p>
    <w:p w:rsidR="00BB224E" w:rsidRDefault="00BB224E" w:rsidP="00E2757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nelle nuove costruzioni ad uso abitazione o promiscuo (a condizione che gli uffici non</w:t>
      </w:r>
      <w:r w:rsidR="00246B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superino il 25% della superficie destinata ad abitazione), ed anche nelle aree di</w:t>
      </w:r>
      <w:r w:rsidR="00246B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pertinenza delle costruzioni stesse, debbono essere riservati appositi spazi per</w:t>
      </w:r>
      <w:r w:rsidR="00246B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parcheggi in misura non inferiore ad 1 mq ogni 10 mc di costruzione. Dovrà comunque</w:t>
      </w:r>
      <w:r w:rsidR="00246B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essere riservato un posto auto per ogni appartamento.</w:t>
      </w:r>
    </w:p>
    <w:p w:rsidR="00BB224E" w:rsidRDefault="00BB224E" w:rsidP="00E2757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Nei casi in cui il lotto risulti già edificato con regolare licenza o concessione edilizia e sia</w:t>
      </w:r>
      <w:r w:rsidR="00246B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possibile, in conformità all'indice di edificabil</w:t>
      </w:r>
      <w:r w:rsidR="00EB7573">
        <w:rPr>
          <w:rFonts w:ascii="Arial" w:hAnsi="Arial" w:cs="Arial"/>
          <w:sz w:val="24"/>
          <w:szCs w:val="24"/>
        </w:rPr>
        <w:t>ità, sopraelevare l’</w:t>
      </w:r>
      <w:r>
        <w:rPr>
          <w:rFonts w:ascii="Arial" w:hAnsi="Arial" w:cs="Arial"/>
          <w:sz w:val="24"/>
          <w:szCs w:val="24"/>
        </w:rPr>
        <w:t>edificio esistente, tale</w:t>
      </w:r>
      <w:r w:rsidR="00246B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sopraelevazione dovrà rispettare i fili fissi del piano sottostante al fine di mantenere</w:t>
      </w:r>
      <w:r w:rsidR="00246B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inalterato l’impianto urbano e di consentire la razionalizzazione dei profili.</w:t>
      </w:r>
    </w:p>
    <w:p w:rsidR="00BB224E" w:rsidRDefault="00BB224E" w:rsidP="00E2757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L'altezza in ogni caso non dovrà superare quella corrispondente alla più frequente</w:t>
      </w:r>
      <w:r w:rsidR="00246B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dell'isolato.</w:t>
      </w:r>
    </w:p>
    <w:p w:rsidR="00BB224E" w:rsidRDefault="00BB224E" w:rsidP="00E2757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Gli allineamenti previsti dal P.R.G. devono intendersi fissi, tuttavia il Sindaco, sentita la</w:t>
      </w:r>
      <w:r w:rsidR="00246B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Commissione Edilizia, può imporre nel dettaglio una rettifica degli stessi allineamenti in</w:t>
      </w:r>
      <w:r w:rsidR="00246B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avanzamento o in arretramento al fine di garantire il coordinamento dei fili fissi e la</w:t>
      </w:r>
      <w:r w:rsidR="00246B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circolazione veicolare nella zona.</w:t>
      </w:r>
    </w:p>
    <w:p w:rsidR="00BB224E" w:rsidRDefault="00BB224E" w:rsidP="00E2757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 caso di assenso dell'Amministrazione Comunale nelle zone B, la cessione della</w:t>
      </w:r>
      <w:r w:rsidR="00246B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dovuta superficie può essere estesa anche alle adiacenti zone </w:t>
      </w:r>
      <w:r w:rsidR="00EB7573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S1</w:t>
      </w:r>
      <w:r w:rsidR="00EB7573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ed </w:t>
      </w:r>
      <w:r w:rsidR="00EB7573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S4</w:t>
      </w:r>
      <w:r w:rsidR="00EB7573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destinate</w:t>
      </w:r>
      <w:r w:rsidR="00246B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rispettivamente a verde pubblico attrezzato e servizi pubblici o di interesse pubblico; le</w:t>
      </w:r>
      <w:r w:rsidR="00246B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aree destinate agli spazi pubblici (sempreché le cessioni siano gratuite e di superficie non</w:t>
      </w:r>
      <w:r w:rsidR="00246B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inferiore a quella indicata in planimetria) possono essere cedute nelle zone “S1" ed “S4"; il</w:t>
      </w:r>
      <w:r w:rsidR="00246B37">
        <w:rPr>
          <w:rFonts w:ascii="Arial" w:hAnsi="Arial" w:cs="Arial"/>
          <w:sz w:val="24"/>
          <w:szCs w:val="24"/>
        </w:rPr>
        <w:t xml:space="preserve"> </w:t>
      </w:r>
      <w:r w:rsidR="00EB7573">
        <w:rPr>
          <w:rFonts w:ascii="Arial" w:hAnsi="Arial" w:cs="Arial"/>
          <w:sz w:val="24"/>
          <w:szCs w:val="24"/>
        </w:rPr>
        <w:t>volume derivante dalle zone “</w:t>
      </w:r>
      <w:r>
        <w:rPr>
          <w:rFonts w:ascii="Arial" w:hAnsi="Arial" w:cs="Arial"/>
          <w:sz w:val="24"/>
          <w:szCs w:val="24"/>
        </w:rPr>
        <w:t xml:space="preserve">S1” ed </w:t>
      </w:r>
      <w:r w:rsidR="00EB7573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S4</w:t>
      </w:r>
      <w:r w:rsidR="00EB7573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(per le quali si applica l’indice di fabbricabilità</w:t>
      </w:r>
      <w:r w:rsidR="00246B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territoriale di zona) può essere trasferito nelle zone residenziali interessate.</w:t>
      </w:r>
    </w:p>
    <w:p w:rsidR="00246B37" w:rsidRDefault="00BB224E" w:rsidP="00E2757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Gli spazi pubblici devono avere una superficie non inferiore a quella indicata nella</w:t>
      </w:r>
      <w:r w:rsidR="00246B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planimetria di </w:t>
      </w:r>
      <w:r>
        <w:rPr>
          <w:rFonts w:ascii="Arial,Bold" w:hAnsi="Arial,Bold" w:cs="Arial,Bold"/>
          <w:b/>
          <w:bCs/>
          <w:sz w:val="24"/>
          <w:szCs w:val="24"/>
        </w:rPr>
        <w:t xml:space="preserve">P.R.G. </w:t>
      </w:r>
      <w:r>
        <w:rPr>
          <w:rFonts w:ascii="Arial" w:hAnsi="Arial" w:cs="Arial"/>
          <w:sz w:val="24"/>
          <w:szCs w:val="24"/>
        </w:rPr>
        <w:t>e comunque non inferiore a 18 mq/ab.</w:t>
      </w:r>
      <w:bookmarkStart w:id="0" w:name="_GoBack"/>
      <w:bookmarkEnd w:id="0"/>
    </w:p>
    <w:p w:rsidR="00F14006" w:rsidRDefault="00F14006" w:rsidP="00E2757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14006" w:rsidRDefault="00F14006" w:rsidP="00E2757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14006">
        <w:rPr>
          <w:rFonts w:ascii="Arial,Bold" w:hAnsi="Arial,Bold" w:cs="Arial,Bold"/>
          <w:bCs/>
          <w:sz w:val="24"/>
          <w:szCs w:val="24"/>
        </w:rPr>
        <w:t>[source;block=end]</w:t>
      </w:r>
    </w:p>
    <w:sectPr w:rsidR="00F14006" w:rsidSect="00215F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2B3C"/>
    <w:rsid w:val="000B0C67"/>
    <w:rsid w:val="001B2B3C"/>
    <w:rsid w:val="001C17AB"/>
    <w:rsid w:val="00215F06"/>
    <w:rsid w:val="00222C1B"/>
    <w:rsid w:val="00246B37"/>
    <w:rsid w:val="00305732"/>
    <w:rsid w:val="004B1974"/>
    <w:rsid w:val="008A048D"/>
    <w:rsid w:val="00946C3D"/>
    <w:rsid w:val="009F2176"/>
    <w:rsid w:val="00AC697E"/>
    <w:rsid w:val="00B67028"/>
    <w:rsid w:val="00BB224E"/>
    <w:rsid w:val="00E2757C"/>
    <w:rsid w:val="00EB7573"/>
    <w:rsid w:val="00F14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15F06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Raimondo Pinna</dc:creator>
  <cp:keywords/>
  <dc:description/>
  <cp:lastModifiedBy>Claudio</cp:lastModifiedBy>
  <cp:revision>9</cp:revision>
  <dcterms:created xsi:type="dcterms:W3CDTF">2014-05-26T11:26:00Z</dcterms:created>
  <dcterms:modified xsi:type="dcterms:W3CDTF">2015-10-30T15:12:00Z</dcterms:modified>
</cp:coreProperties>
</file>