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28" w:rsidRPr="00166028" w:rsidRDefault="00166028" w:rsidP="001660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4"/>
          <w:szCs w:val="24"/>
        </w:rPr>
      </w:pPr>
      <w:r w:rsidRPr="00166028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166028" w:rsidRDefault="00166028" w:rsidP="00222C1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:rsidR="00377B0C" w:rsidRPr="0067578F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 w:rsidRPr="0067578F">
        <w:rPr>
          <w:rFonts w:ascii="Arial,Bold" w:hAnsi="Arial,Bold" w:cs="Arial,Bold"/>
          <w:b/>
          <w:bCs/>
          <w:sz w:val="24"/>
          <w:szCs w:val="24"/>
        </w:rPr>
        <w:t>ART. 16</w:t>
      </w:r>
    </w:p>
    <w:p w:rsidR="00377B0C" w:rsidRPr="00A537D7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  <w:u w:val="single"/>
        </w:rPr>
      </w:pPr>
      <w:r w:rsidRPr="00A537D7">
        <w:rPr>
          <w:rFonts w:ascii="Arial,Bold" w:hAnsi="Arial,Bold" w:cs="Arial,Bold"/>
          <w:b/>
          <w:bCs/>
          <w:sz w:val="24"/>
          <w:szCs w:val="24"/>
          <w:u w:val="single"/>
        </w:rPr>
        <w:t>SOTTOZONE B2</w:t>
      </w:r>
    </w:p>
    <w:p w:rsidR="0067578F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sulla base dei caratteri dell’insediamento riferiti all'indice di fabbricazione e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alle tipologie edilizie prevalenti, attribuisce alle sottozone i seguenti indici di fabbricabilità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fondiaria:</w:t>
      </w:r>
    </w:p>
    <w:p w:rsidR="0067578F" w:rsidRDefault="0067578F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7578F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sottozona B2: iff= 5 mc/mq con obbligo di Piano Particolareggiato</w:t>
      </w:r>
    </w:p>
    <w:p w:rsidR="0067578F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mc/mq con concessione edilizia diretta</w:t>
      </w:r>
    </w:p>
    <w:p w:rsidR="0067578F" w:rsidRDefault="0067578F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7B0C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N.B. – Nelle zone </w:t>
      </w:r>
      <w:r>
        <w:rPr>
          <w:rFonts w:ascii="Arial,Bold" w:hAnsi="Arial,Bold" w:cs="Arial,Bold"/>
          <w:b/>
          <w:bCs/>
          <w:sz w:val="24"/>
          <w:szCs w:val="24"/>
        </w:rPr>
        <w:t xml:space="preserve">B2 </w:t>
      </w:r>
      <w:r>
        <w:rPr>
          <w:rFonts w:ascii="Arial" w:hAnsi="Arial" w:cs="Arial"/>
          <w:sz w:val="24"/>
          <w:szCs w:val="24"/>
        </w:rPr>
        <w:t>non possono essere rilasciate, in alcun caso, concessioni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edilizie con indice di fabbricabilità fondiaria superiore a 3 mc/mq se non in presenza di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formale Piano Particolareggiato o di lottizzazione convenzionata.</w:t>
      </w:r>
    </w:p>
    <w:p w:rsidR="00377B0C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tipologie edilizie sono libere purché risultino validamente inserite nel disegno urbano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già definito; tuttavia al fine di garantire un risultato più omogeneo si prescrivono le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seguenti norme:</w:t>
      </w:r>
    </w:p>
    <w:p w:rsidR="00377B0C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un rapporto di copertura nel lotto non superiore ad 1/2;</w:t>
      </w:r>
    </w:p>
    <w:p w:rsidR="00377B0C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un'altezza, nel rispetto dei vincoli panoramici vigenti, non superiore a m 21;</w:t>
      </w:r>
    </w:p>
    <w:p w:rsidR="00377B0C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un distacco minimo di m 10 tra pareti finestrati di vani abitabili non altrimenti finestrati;</w:t>
      </w:r>
    </w:p>
    <w:p w:rsidR="00377B0C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nelle nuove costruzioni ad uso abitazione o promiscuo (a condizione che gli uffici non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superino il 25% della superficie destinata ad abitazione), ed anche nelle aree di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pertinenza delle costruzioni stesse, debbono essere riservati appositi spazi per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parcheggi in misura non inferiore ad 1 mq ogni 10 mc di costruzione. Dovrà comunque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riservato un posto auto per ogni appartamento.</w:t>
      </w:r>
    </w:p>
    <w:p w:rsidR="00377B0C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 casi in cui il lotto risulti già edificato con regolare licenza o concessione edilizia e sia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possibile, in conformità all'indice di edificabilità, sopraelevare lo edificio esistente, tale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sopraelevazione dovrà rispettare i fili fissi del piano sottostante al fine di mantenere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inalterato l’impianto urbano e di consentire la razionalizzazione dei profili.</w:t>
      </w:r>
    </w:p>
    <w:p w:rsidR="00377B0C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L'altezza in ogni caso non dovrà superare quella corrispondente alla più frequente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dell'isolato.</w:t>
      </w:r>
    </w:p>
    <w:p w:rsidR="00377B0C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allineamenti previsti dal P.R.G. devono intendersi fissi, tuttavia il Sindaco, sentita la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Commissione Edilizia, può imporre nel dettaglio una rettifica degli stessi allineamenti in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avanzamento o in arretramento al fine di garantire il coordinamento dei fili fissi e la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circolazione veicolare nella zona.</w:t>
      </w:r>
    </w:p>
    <w:p w:rsidR="00377B0C" w:rsidRDefault="00377B0C" w:rsidP="00222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caso di assenso dell'Amministrazione Comunale nelle zone B, la cessione della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dovuta superficie può essere estesa anche alle adiacenti zone "S1" ed "S4" destinate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rispettivamente a verde pubblico attrezzato e servizi pubblici o di interesse pubblico; le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aree destinate agli spazi pubblici (sempreché le cessioni siano gratuite e di superficie non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inferiore a quella indicata in planimetria) possono essere cedute nelle zone “S1" ed “S4"; il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derivante dalle zone "S1” ed "S4" (per le quali si applica l’indice di fabbricabilità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territoriale di zona) può essere trasferito nelle zone residenziali interessate.</w:t>
      </w:r>
    </w:p>
    <w:p w:rsidR="00377B0C" w:rsidRDefault="00377B0C" w:rsidP="006757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spazi pubblici devono avere una superficie non inferiore a quella indicata nella</w:t>
      </w:r>
      <w:r w:rsidR="00675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planimetria di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e comunque non inferiore a 18 mq/ab.</w:t>
      </w:r>
      <w:bookmarkStart w:id="0" w:name="_GoBack"/>
      <w:bookmarkEnd w:id="0"/>
    </w:p>
    <w:p w:rsidR="00166028" w:rsidRDefault="00166028" w:rsidP="006757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66028" w:rsidRPr="00166028" w:rsidRDefault="00166028" w:rsidP="001660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4"/>
          <w:szCs w:val="24"/>
        </w:rPr>
      </w:pPr>
      <w:r w:rsidRPr="00166028">
        <w:rPr>
          <w:rFonts w:ascii="Arial,Bold" w:hAnsi="Arial,Bold" w:cs="Arial,Bold"/>
          <w:bCs/>
          <w:sz w:val="24"/>
          <w:szCs w:val="24"/>
        </w:rPr>
        <w:t>[source;block=end]</w:t>
      </w:r>
    </w:p>
    <w:p w:rsidR="00166028" w:rsidRDefault="00166028" w:rsidP="006757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166028" w:rsidSect="000947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B3C"/>
    <w:rsid w:val="00094779"/>
    <w:rsid w:val="00131F19"/>
    <w:rsid w:val="00166028"/>
    <w:rsid w:val="001B2B3C"/>
    <w:rsid w:val="00222C1B"/>
    <w:rsid w:val="00377B0C"/>
    <w:rsid w:val="004B1974"/>
    <w:rsid w:val="0067578F"/>
    <w:rsid w:val="007135CF"/>
    <w:rsid w:val="00752FB7"/>
    <w:rsid w:val="008A048D"/>
    <w:rsid w:val="00920E6F"/>
    <w:rsid w:val="00A537D7"/>
    <w:rsid w:val="00B67028"/>
    <w:rsid w:val="00E177EE"/>
    <w:rsid w:val="00E26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477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Raimondo Pinna</dc:creator>
  <cp:keywords/>
  <dc:description/>
  <cp:lastModifiedBy>Claudio</cp:lastModifiedBy>
  <cp:revision>7</cp:revision>
  <dcterms:created xsi:type="dcterms:W3CDTF">2014-05-26T11:26:00Z</dcterms:created>
  <dcterms:modified xsi:type="dcterms:W3CDTF">2015-10-30T15:13:00Z</dcterms:modified>
</cp:coreProperties>
</file>