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38" w:rsidRPr="00C35803" w:rsidRDefault="00412038" w:rsidP="00C35803">
      <w:pPr>
        <w:tabs>
          <w:tab w:val="left" w:pos="2760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  <w:lang w:val="en-US"/>
        </w:rPr>
      </w:pPr>
      <w:r w:rsidRPr="00C35803">
        <w:rPr>
          <w:rFonts w:ascii="Arial,Bold" w:hAnsi="Arial,Bold" w:cs="Arial,Bold"/>
          <w:bCs/>
          <w:sz w:val="24"/>
          <w:szCs w:val="24"/>
          <w:lang w:val="en-US"/>
        </w:rPr>
        <w:t>[source;block=begin]</w:t>
      </w:r>
    </w:p>
    <w:p w:rsidR="00412038" w:rsidRPr="00C35803" w:rsidRDefault="00412038" w:rsidP="00C35803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  <w:lang w:val="en-US"/>
        </w:rPr>
      </w:pPr>
    </w:p>
    <w:p w:rsidR="002C25F4" w:rsidRPr="00C35803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lang w:val="en-US"/>
        </w:rPr>
      </w:pPr>
      <w:r w:rsidRPr="00C35803">
        <w:rPr>
          <w:rFonts w:ascii="Arial,Bold" w:hAnsi="Arial,Bold" w:cs="Arial,Bold"/>
          <w:b/>
          <w:bCs/>
          <w:sz w:val="24"/>
          <w:szCs w:val="24"/>
          <w:lang w:val="en-US"/>
        </w:rPr>
        <w:t>ART. 16</w:t>
      </w:r>
    </w:p>
    <w:p w:rsidR="002C25F4" w:rsidRPr="00C35803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u w:val="single"/>
          <w:lang w:val="en-US"/>
        </w:rPr>
      </w:pPr>
      <w:r w:rsidRPr="00C35803">
        <w:rPr>
          <w:rFonts w:ascii="Arial,Bold" w:hAnsi="Arial,Bold" w:cs="Arial,Bold"/>
          <w:b/>
          <w:bCs/>
          <w:sz w:val="24"/>
          <w:szCs w:val="24"/>
          <w:u w:val="single"/>
          <w:lang w:val="en-US"/>
        </w:rPr>
        <w:t>SOTTOZONE</w:t>
      </w:r>
      <w:r w:rsidRPr="00C35803">
        <w:rPr>
          <w:rFonts w:ascii="Arial,Bold" w:hAnsi="Arial,Bold" w:cs="Arial,Bold"/>
          <w:b/>
          <w:bCs/>
          <w:color w:val="BFBFBF"/>
          <w:sz w:val="24"/>
          <w:szCs w:val="24"/>
          <w:u w:val="single"/>
          <w:lang w:val="en-US"/>
        </w:rPr>
        <w:t xml:space="preserve"> </w:t>
      </w:r>
      <w:r w:rsidRPr="00C35803">
        <w:rPr>
          <w:rFonts w:ascii="Arial,Bold" w:hAnsi="Arial,Bold" w:cs="Arial,Bold"/>
          <w:b/>
          <w:bCs/>
          <w:sz w:val="24"/>
          <w:szCs w:val="24"/>
          <w:u w:val="single"/>
          <w:lang w:val="en-US"/>
        </w:rPr>
        <w:t>B3*.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sulla base dei caratteri dell’insediamento riferiti all'indice di fabbricazione 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 tipologie edilizie prevalenti, attribuisce alle sottozone i seguenti indici di fabbricabilità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fondiaria: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sottozona </w:t>
      </w:r>
      <w:r w:rsidRPr="008B0217">
        <w:rPr>
          <w:rFonts w:ascii="Arial" w:hAnsi="Arial" w:cs="Arial"/>
          <w:sz w:val="24"/>
          <w:szCs w:val="24"/>
        </w:rPr>
        <w:t>B3*: iff=2,5 mc/mq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zone B3* è possibile rilasciare la concessione edilizia senza lo studio della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lottizzazione, a condizione che vengano effettuate le cessioni di aree nella misura di 18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mq/abitanti insediabili ogni 100 mc costruibili.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tipologie edilizie sono libere purché risultino validamente inserite nel disegno urbano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già definito; tuttavia al fine di garantire un risultato più omogeneo si prescrivono le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 rapporto di copertura nel lotto non superiore ad 1/2;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un'altezza, nel rispetto dei vincoli panoramici vigenti, non superiore a m 21;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distacco minimo di m 10 tra pareti finestrati di vani abitabili non altrimenti finestrati;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nelle nuove costruzioni ad uso abitazione o promiscuo (a condizione che gli uffici non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superino il 25% della superficie destinata ad abitazione), ed anche nelle aree di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pertinenza delle costruzioni stesse, debbono essere riservati appositi spazi per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parcheggi in misura non inferiore ad 1 mq ogni 10 mc di costruzione. Dovrà comunque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riservato un posto auto per ogni appartamento.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casi in cui il lotto risulti già edificato con regolare licenza o concessione edilizia e sia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possibile, in conformità all'indice di edificabilità, sopraelevare lo edificio esistente, tale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sopraelevazione dovrà rispettare i fili fissi del piano sottostante al fine di mantenere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inalterato l’impianto urbano e di consentire la razionalizzazione dei profili.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L'altezza in ogni caso non dovrà superare quella corrispondente alla più frequente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dell'isolato.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allineamenti previsti dal P.R.G. devono intendersi fissi, tuttavia il Sindaco, sentita 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Commissione Edilizia, può imporre nel dettaglio una rettifica degli stessi allineamenti in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avanzamento o in arretramento al fine di garantire il coordinamento dei fili fissi e 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circolazione veicolare nella zona.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NORMATIVA PER I LOTTI INTERCLUSI NELLE ZONE B.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omogenea classificata B è consentito il rilascio della concessione, in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assenza di studio attuativo, con indici fondiari superiori a 3 mc/mq e con altezze superiori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m. 25, purché non superino le altezze dei fabbricati circostanti e nel rispetto della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normativa di zona, limitatamente ai lotti interclusi ed alle condizioni di seguito precisate: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lotto intercluso deve intendersi quella porzione di area inedificata o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parzialmente edificata che sia completamente circondata da aree che abbiano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utilizzato l’indice di copertura con regolare concessione edilizia rilasciata non oltre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data di esecutività del presente provvedimento;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consenta l’applicazione della normativa urbanistica comportando una soluzione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urbanistica obbligata;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non risulti edificabile a seguito di demolizione di fabbricati.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rilascio della concessione edilizia di cui sopra è condizionato: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al rispetto e alla salvaguardia dei valori ambientali e all’uso dei materiali tradizionali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della zona;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alla corresponsione degli oneri di urbanizzazione in conformità delle tabelle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parametriche vigenti;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alla cessione gratuita al Comune di superfici pari agli standards prescritti.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volumetria edificabile è computata avuto riguardo allo intero lotto, comprese le aree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cessione con esclusione di quelle destinate alla viabilità.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aree di cessione possono essere destinate per intero a parcheggi pubblici 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possono essere eventualmente reperite nei piani pilotis, nei seminterrati o nei piani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intermedi, purché ne venga assicurata l’accessibilità e la fruibilità.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tale eventualità, deve essere concesso uno scomputo sugli oneri di urbanizzazione nella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misura e secondo i criteri che saranno deliberati in via generale, dal Consiglio Comunale.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volumi che ai sensi delle norme precedenti venissero ceduti all’Amministrazione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Comunale, in eccedenza del 10% da destinare a servizi pubblici di cui all’art. 4 del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D.P.G.R. 1/8/1977, n° 9743-271, non sono computati agli effetti dell’indice fondiario.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Qualora la cessione di aree, in conformità ai commi precedenti, comporti soluzioni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razionali, quali l’inutilizzabilità delle stesse aree o una soluzione tecnicamente inaccettabile,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detta cessione potrà essere sostituita da un corrispettivo monetario, nella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misura e secondo i criteri da stabilirsi, in via generale, con deliberazione del Consiglio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Comunale.</w:t>
      </w:r>
    </w:p>
    <w:p w:rsidR="002C25F4" w:rsidRDefault="002C25F4" w:rsidP="004E3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assenso dell'Amministrazione Comunale nelle zone B, la cessione della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dovuta superficie può essere estesa anche alle adiacenti zone "S1" ed "S4" destinate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rispettivamente a verde pubblico attrezzato e servizi pubblici o di interesse pubblico; le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destinate agli spazi pubblici (</w:t>
      </w:r>
      <w:r w:rsidR="0084309B" w:rsidRPr="0084309B">
        <w:rPr>
          <w:rFonts w:ascii="Arial" w:hAnsi="Arial" w:cs="Arial"/>
          <w:sz w:val="24"/>
          <w:szCs w:val="24"/>
        </w:rPr>
        <w:t>sempreché</w:t>
      </w:r>
      <w:r>
        <w:rPr>
          <w:rFonts w:ascii="Arial" w:hAnsi="Arial" w:cs="Arial"/>
          <w:sz w:val="24"/>
          <w:szCs w:val="24"/>
        </w:rPr>
        <w:t xml:space="preserve"> le cessioni siano gratuite e di superficie non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inferiore a quella indicata in planimetria) possono essere cedute nelle zone “S1" ed “S4"; il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derivante dalle zone "S1” ed "S4" (per le quali si applica l’indice di fabbricabilità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 di zona) può essere trasferito nelle zone residenziali interessate.</w:t>
      </w:r>
    </w:p>
    <w:p w:rsidR="00412038" w:rsidRDefault="002C25F4" w:rsidP="004120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spazi pubblici devono avere una superficie non inferiore a quella indicata nella</w:t>
      </w:r>
      <w:r w:rsidR="004E3B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planimetria di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e comunque non inferiore a 18 mq/ab.</w:t>
      </w:r>
      <w:bookmarkStart w:id="0" w:name="_GoBack"/>
      <w:bookmarkEnd w:id="0"/>
    </w:p>
    <w:p w:rsidR="00412038" w:rsidRDefault="00412038" w:rsidP="004120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12038" w:rsidRPr="00412038" w:rsidRDefault="00412038" w:rsidP="0041203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2038">
        <w:rPr>
          <w:rFonts w:ascii="Arial,Bold" w:hAnsi="Arial,Bold" w:cs="Arial,Bold"/>
          <w:bCs/>
          <w:sz w:val="24"/>
          <w:szCs w:val="24"/>
        </w:rPr>
        <w:t>[source;block=end]</w:t>
      </w:r>
    </w:p>
    <w:sectPr w:rsidR="00412038" w:rsidRPr="00412038" w:rsidSect="00DE3B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2B3C"/>
    <w:rsid w:val="00094FAF"/>
    <w:rsid w:val="00096C95"/>
    <w:rsid w:val="0010734A"/>
    <w:rsid w:val="001B2B3C"/>
    <w:rsid w:val="00222C1B"/>
    <w:rsid w:val="002C25F4"/>
    <w:rsid w:val="00412038"/>
    <w:rsid w:val="00440F0A"/>
    <w:rsid w:val="00480CE3"/>
    <w:rsid w:val="004B1974"/>
    <w:rsid w:val="004E3B0C"/>
    <w:rsid w:val="004F5E30"/>
    <w:rsid w:val="006916B4"/>
    <w:rsid w:val="00745C33"/>
    <w:rsid w:val="0084309B"/>
    <w:rsid w:val="008A048D"/>
    <w:rsid w:val="008B0217"/>
    <w:rsid w:val="009308A6"/>
    <w:rsid w:val="00B67028"/>
    <w:rsid w:val="00C15775"/>
    <w:rsid w:val="00C27004"/>
    <w:rsid w:val="00C35803"/>
    <w:rsid w:val="00DE3B0C"/>
    <w:rsid w:val="00E26767"/>
    <w:rsid w:val="00E51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3B0C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Raimondo Pinna</dc:creator>
  <cp:keywords/>
  <dc:description/>
  <cp:lastModifiedBy>Claudio</cp:lastModifiedBy>
  <cp:revision>10</cp:revision>
  <dcterms:created xsi:type="dcterms:W3CDTF">2014-05-26T11:27:00Z</dcterms:created>
  <dcterms:modified xsi:type="dcterms:W3CDTF">2015-10-30T15:28:00Z</dcterms:modified>
</cp:coreProperties>
</file>