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A32" w:rsidRPr="008B1A32" w:rsidRDefault="008B1A32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8B1A32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8B1A32" w:rsidRPr="008B1A32" w:rsidRDefault="008B1A32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461D2C" w:rsidRPr="0017557F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 w:rsidRPr="0017557F">
        <w:rPr>
          <w:rFonts w:ascii="Arial,Bold" w:hAnsi="Arial,Bold" w:cs="Arial,Bold"/>
          <w:b/>
          <w:bCs/>
          <w:sz w:val="24"/>
          <w:szCs w:val="24"/>
        </w:rPr>
        <w:t>ART.</w:t>
      </w:r>
      <w:r w:rsidR="008B1A32">
        <w:rPr>
          <w:rFonts w:ascii="Arial,Bold" w:hAnsi="Arial,Bold" w:cs="Arial,Bold"/>
          <w:b/>
          <w:bCs/>
          <w:sz w:val="24"/>
          <w:szCs w:val="24"/>
        </w:rPr>
        <w:t xml:space="preserve"> </w:t>
      </w:r>
      <w:r w:rsidRPr="0017557F">
        <w:rPr>
          <w:rFonts w:ascii="Arial,Bold" w:hAnsi="Arial,Bold" w:cs="Arial,Bold"/>
          <w:b/>
          <w:bCs/>
          <w:sz w:val="24"/>
          <w:szCs w:val="24"/>
        </w:rPr>
        <w:t>40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SOTTOZONA H3 : SALVAGUARDIA ASSOLUTA ED ECOLOGICA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è soggetta a vincolo protettivo ambientale di rispetto assoluto con i seguenti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indici: 0,001 mc/mq ai sensi dell'art. 4 del D.P.G.R. 1.8.1977, con possibilità di deroga, ai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sensi dell'art. 16 della legge 6.8.1967, n. 765 per edifici, attrezzature ed impianti pubblici.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essa è vietata ogni modificazione dello stato dei luoghi ed in particolare qualunque tipo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 costruzione, anche a titolo precario, per particolari esigenze di una valorizzazione a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scopi culturali naturalistici potranno essere studiati piani particolareggiati che consentono: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la realizzazione di strade e parcheggi, a condizione però che i manufatti siano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organicamente inseriti nell'ambiente naturale preesistente;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punti di ristoro.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bookmarkStart w:id="0" w:name="_GoBack"/>
      <w:bookmarkEnd w:id="0"/>
      <w:r>
        <w:rPr>
          <w:rFonts w:ascii="Arial,Bold" w:hAnsi="Arial,Bold" w:cs="Arial,Bold"/>
          <w:b/>
          <w:bCs/>
          <w:sz w:val="24"/>
          <w:szCs w:val="24"/>
        </w:rPr>
        <w:t>ART. 42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FASCIA COSTIERA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Lungo la fascia costiera libera del territorio comunale anche se facente parte di zone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 diversa destinazione d’uso, si applicano le seguenti norme di salvaguardia ai fini del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mantenimento della continuità dell’ambiente naturale: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nelle fasce balneari a costa bassa non rocciosa è vietata ogni edificazione per una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profondità di m. 150 dalla linea di alta marea, misurata su proiezione ortogonale;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tuttavia nelle aree pubbliche, ove la profondità della spiaggia superi i m 50, può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consentita la realizzazione di piccole attrezzature balneari di uso pubblico a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carattere stagionale e facilmente rimovibili, purchè previste in sede di P.P. o di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lottizzazione, con la esclusione di ogni altra costruzione, comprese le case di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abitazione. E’ vietato qualunque intervento con materiali cementizi e murature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tradizionali.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intervento deve garantire il rispetto dell’ambiente naturale tutelando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integralmente la spiaggia esistente e la vegetazione al contorno.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fine di non ostacolare l’accesso al mare e la sosta temporanea dei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“bagnanti”, le attrezzature balneari compr</w:t>
      </w:r>
      <w:r w:rsidR="00733C54">
        <w:rPr>
          <w:rFonts w:ascii="Arial" w:hAnsi="Arial" w:cs="Arial"/>
          <w:sz w:val="24"/>
          <w:szCs w:val="24"/>
        </w:rPr>
        <w:t>ese le eventuali recinzioni, de</w:t>
      </w:r>
      <w:r>
        <w:rPr>
          <w:rFonts w:ascii="Arial" w:hAnsi="Arial" w:cs="Arial"/>
          <w:sz w:val="24"/>
          <w:szCs w:val="24"/>
        </w:rPr>
        <w:t>vono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distare dalla linea di alta marea non meno di m 80.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attrezzature balneari consentite devono essere dotate di efficienti e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proporzionati servizi per garantire l’autonoma funzionalità, comprese adeguate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superfici per la sosta, che devono però essere ubicati se possibile oltre la fascia dei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150 metri dal mare.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eventuali recinzioni, realizzate con materiali facilmente rimovibili, devono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del tipo a giorno al fine di non ostacolare le visuali, ed essere realizzate con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progetto unitario per l’intero settore di intervento;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nelle fasce a costa bassa rocciosa che consentono accessi al mare è vietata ogni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edificazione per una profondità di m 150 dalla line di alta marea misurata su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proiezione ortogonale.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eventuali recinzioni di proprietà realizzate con soluzioni a giorno per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garantire la visuale devono distare dalla linea di alta marea non meno di m 50 e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 comunque essere assicurata la fruibilità pubblica dal mare;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per le fasce a costa alta che non consentono accessi al mare, è vietata ogni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edificazione per una profondità di m 150 dalla linea di alta marea, misurata su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proiezione ortogonale. Nella zona sono applicabili le deroghe di cui all’art. 14 della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L.R. n° 10 del 09/03/1976 e l’Amministrazione Comunale può consentire la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realizzazione di attrezzature di ristoro e svago temporaneo, a condizione che: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l’edificio sia costruito con materiali idonei e colori rispondenti all’ambiente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naturale;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superficie coperta non superi complessivamente mq 350, calcolata anche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 piani sfalsati;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l’altezza fuori terra, misurata dal piano del terreno naturale non superi i m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4,00;</w:t>
      </w:r>
    </w:p>
    <w:p w:rsidR="00461D2C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lastRenderedPageBreak/>
        <w:t xml:space="preserve">• </w:t>
      </w:r>
      <w:r>
        <w:rPr>
          <w:rFonts w:ascii="Arial" w:hAnsi="Arial" w:cs="Arial"/>
          <w:sz w:val="24"/>
          <w:szCs w:val="24"/>
        </w:rPr>
        <w:t>l’eventuale recinzione dell’area di pertinenza sia a giorno al fine di garantire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visuale;</w:t>
      </w:r>
    </w:p>
    <w:p w:rsidR="0040598A" w:rsidRDefault="00461D2C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licenza edilizia sia regolamentata da apposita convenzione nella quale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siano stabiliti i tempi di ammortamento dell’opera e l’impegno per una</w:t>
      </w:r>
      <w:r w:rsidR="008B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eventuale demolizione al fine di riportare i luoghi al primitivo stato.</w:t>
      </w:r>
    </w:p>
    <w:p w:rsidR="008B1A32" w:rsidRDefault="008B1A32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B1A32" w:rsidRPr="008B1A32" w:rsidRDefault="008B1A32" w:rsidP="008B1A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B1A32">
        <w:rPr>
          <w:rFonts w:ascii="Arial" w:hAnsi="Arial" w:cs="Arial"/>
          <w:sz w:val="24"/>
          <w:szCs w:val="24"/>
          <w:lang w:val="en-US"/>
        </w:rPr>
        <w:t>[source;block=end]</w:t>
      </w:r>
    </w:p>
    <w:sectPr w:rsidR="008B1A32" w:rsidRPr="008B1A32" w:rsidSect="005F50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7557F"/>
    <w:rsid w:val="001B2B3C"/>
    <w:rsid w:val="00222C1B"/>
    <w:rsid w:val="0040598A"/>
    <w:rsid w:val="00461D2C"/>
    <w:rsid w:val="004B1974"/>
    <w:rsid w:val="004D6C8D"/>
    <w:rsid w:val="004F53D9"/>
    <w:rsid w:val="005F50DE"/>
    <w:rsid w:val="00733C54"/>
    <w:rsid w:val="00760A57"/>
    <w:rsid w:val="007D2301"/>
    <w:rsid w:val="007E618F"/>
    <w:rsid w:val="008B1A32"/>
    <w:rsid w:val="00B05B8A"/>
    <w:rsid w:val="00B36308"/>
    <w:rsid w:val="00B67028"/>
    <w:rsid w:val="00B96E94"/>
    <w:rsid w:val="00C904D9"/>
    <w:rsid w:val="00D3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50D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6</cp:revision>
  <dcterms:created xsi:type="dcterms:W3CDTF">2014-05-26T11:32:00Z</dcterms:created>
  <dcterms:modified xsi:type="dcterms:W3CDTF">2015-10-30T17:06:00Z</dcterms:modified>
</cp:coreProperties>
</file>