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35" w:rsidRPr="00782FE1" w:rsidRDefault="003F2E35" w:rsidP="00782FE1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782FE1">
        <w:rPr>
          <w:rFonts w:ascii="Arial" w:hAnsi="Arial" w:cs="Arial"/>
          <w:bCs/>
          <w:sz w:val="24"/>
          <w:szCs w:val="24"/>
          <w:lang w:val="en-US"/>
        </w:rPr>
        <w:t>[source;block=begin]</w:t>
      </w:r>
    </w:p>
    <w:p w:rsidR="003F2E35" w:rsidRPr="00782FE1" w:rsidRDefault="003F2E35" w:rsidP="00782FE1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461D2C" w:rsidRPr="00782FE1" w:rsidRDefault="00461D2C" w:rsidP="00782FE1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782FE1">
        <w:rPr>
          <w:rFonts w:ascii="Arial" w:hAnsi="Arial" w:cs="Arial"/>
          <w:b/>
          <w:bCs/>
          <w:sz w:val="24"/>
          <w:szCs w:val="24"/>
        </w:rPr>
        <w:t>ART.</w:t>
      </w:r>
      <w:r w:rsidR="00782F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82FE1">
        <w:rPr>
          <w:rFonts w:ascii="Arial" w:hAnsi="Arial" w:cs="Arial"/>
          <w:b/>
          <w:bCs/>
          <w:sz w:val="24"/>
          <w:szCs w:val="24"/>
        </w:rPr>
        <w:t>41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782FE1">
        <w:rPr>
          <w:rFonts w:ascii="Arial" w:hAnsi="Arial" w:cs="Arial"/>
          <w:b/>
          <w:bCs/>
          <w:sz w:val="24"/>
          <w:szCs w:val="24"/>
        </w:rPr>
        <w:t>ZONA H4: DELLO STAGNO DI KALICH.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L’area dello stagno di Kalich e della zona umida limitrofa, separata dalla zona di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 xml:space="preserve">Maria Pia dalla strada statale per Fertilia , è classificata come zona “H” </w:t>
      </w:r>
      <w:r w:rsidR="00782FE1">
        <w:rPr>
          <w:rFonts w:ascii="Arial" w:hAnsi="Arial" w:cs="Arial"/>
          <w:sz w:val="24"/>
          <w:szCs w:val="24"/>
        </w:rPr>
        <w:t>-</w:t>
      </w:r>
      <w:r w:rsidRPr="00782FE1">
        <w:rPr>
          <w:rFonts w:ascii="Arial" w:hAnsi="Arial" w:cs="Arial"/>
          <w:sz w:val="24"/>
          <w:szCs w:val="24"/>
        </w:rPr>
        <w:t xml:space="preserve"> salvaguardia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 xml:space="preserve">assoluta </w:t>
      </w:r>
      <w:r w:rsidR="00782FE1">
        <w:rPr>
          <w:rFonts w:ascii="Arial" w:hAnsi="Arial" w:cs="Arial"/>
          <w:sz w:val="24"/>
          <w:szCs w:val="24"/>
        </w:rPr>
        <w:t>-</w:t>
      </w:r>
      <w:r w:rsidRPr="00782FE1">
        <w:rPr>
          <w:rFonts w:ascii="Arial" w:hAnsi="Arial" w:cs="Arial"/>
          <w:sz w:val="24"/>
          <w:szCs w:val="24"/>
        </w:rPr>
        <w:t xml:space="preserve"> ai sensi dell’art. 3 del D.P.G.R. 01/08/1977, numero 9743-2714 e successive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modifiche e integrazioni.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In tale zona, previa predisposizione d’intesa con la Soprintendenza dei Beni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ambientali e degli Assessorati Regionali della difesa dell’Ambiente, della Pubblica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Istruzione e dei Beni Culturali di un formale Piano particolareggiato che definisca la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funzione dello stagno e delle zone umide adiacenti, e che ricomprenda le aree ubicate tra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lo stagno di Kalich e la prevista strada di circonvallazione, potranno essere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eventualmente consentite utilizzazioni soltanto per parco urbano attrezzato e per il tempo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libero.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782FE1">
        <w:rPr>
          <w:rFonts w:ascii="Arial" w:hAnsi="Arial" w:cs="Arial"/>
          <w:b/>
          <w:bCs/>
          <w:sz w:val="24"/>
          <w:szCs w:val="24"/>
        </w:rPr>
        <w:t>ART. 42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782FE1">
        <w:rPr>
          <w:rFonts w:ascii="Arial" w:hAnsi="Arial" w:cs="Arial"/>
          <w:b/>
          <w:bCs/>
          <w:sz w:val="24"/>
          <w:szCs w:val="24"/>
        </w:rPr>
        <w:t>FASCIA COSTIERA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Lungo la fascia costiera libera del territorio comunale anche se facente parte di zone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con diversa destinazione d’uso, si applicano le seguenti norme di salvaguardia ai fini del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mantenimento della continuità dell’ambiente naturale: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a) nelle fasce balneari a costa bassa non rocciosa è vietata ogni edificazione per una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profondità di m. 150 dalla linea di alta marea, misurata su proiezione ortogonale;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tuttavia nelle aree pubbliche, ove la profondità della spiaggia superi i m 50, può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essere consentita la realizzazione di piccole attrezzature balneari di uso pubblico a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carattere stagionale e facilmente rimovibili, purchè previste in sede di P.P. o di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lottizzazione, con la esclusione di ogni altra costruzione, comprese le case di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abitazione. E’ vietato qualunque intervento con materiali cementizi e murature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tradizionali.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Ogni intervento deve garantire il rispetto dell’ambiente naturale tutelando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integralmente la spiaggia esistente e la vegetazione al contorno.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Al fine di non ostacolare l’accesso al mare e la sosta temporanea dei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“bagnanti”, le attrezzature balneari compr</w:t>
      </w:r>
      <w:r w:rsidR="00733C54" w:rsidRPr="00782FE1">
        <w:rPr>
          <w:rFonts w:ascii="Arial" w:hAnsi="Arial" w:cs="Arial"/>
          <w:sz w:val="24"/>
          <w:szCs w:val="24"/>
        </w:rPr>
        <w:t>ese le eventuali recinzioni, de</w:t>
      </w:r>
      <w:r w:rsidRPr="00782FE1">
        <w:rPr>
          <w:rFonts w:ascii="Arial" w:hAnsi="Arial" w:cs="Arial"/>
          <w:sz w:val="24"/>
          <w:szCs w:val="24"/>
        </w:rPr>
        <w:t>vono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distare dalla linea di alta marea non meno di m 80.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Le attrezzature balneari consentite devono essere dotate di efficienti e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proporzionati servizi per garantire l’autonoma funzionalità, comprese adeguate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superfici per la sosta, che devono però essere ubicati se possibile oltre la fascia dei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150 metri dal mare.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Le eventuali recinzioni, realizzate con materiali facilmente rimovibili, devono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essere del tipo a giorno al fine di non ostacolare le visuali, ed essere realizzate con</w:t>
      </w:r>
      <w:r w:rsidR="003F2E35" w:rsidRP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progetto unitario per l’intero settore di intervento;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b) nelle fasce a costa bassa rocciosa che consentono accessi al mare è vietata ogni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edificazione per una profondità di m 150 dalla line di alta marea misurata su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proiezione ortogonale.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Le eventuali recinzioni di proprietà realizzate con soluzioni a giorno per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garantire la visuale devono distare dalla linea di alta marea non meno di m 50 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deve comunque essere assicurata la fruibilità pubblica dal mare;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c) per le fasce a costa alta che non consentono accessi al mare, è vietata ogni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edificazione per una profondità di m 150 dalla linea di alta marea, misurata su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proiezione ortogonale. Nella zona sono applicabili le deroghe di cui all’art. 14 della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L.R. n° 10 del 09/03/1976 e l’Amministrazione Comunale può consentire la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realizzazione di attrezzature di ristoro e svago temporaneo, a condizione che: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• l’edificio sia costruito con materiali idonei e colori rispondenti all’ambiente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naturale;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• la superficie coperta non superi complessivamente mq 350, calcolata anche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su piani sfalsati;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lastRenderedPageBreak/>
        <w:t>• l’altezza fuori terra, misurata dal piano del terreno naturale non superi i m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4,00;</w:t>
      </w:r>
    </w:p>
    <w:p w:rsidR="00461D2C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• l’eventuale recinzione dell’area di pertinenza sia a giorno al fine di garantire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la visuale;</w:t>
      </w:r>
    </w:p>
    <w:p w:rsidR="0040598A" w:rsidRPr="00782FE1" w:rsidRDefault="00461D2C" w:rsidP="00782FE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• la licenza edilizia sia regolamentata da apposita convenzione nella quale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siano stabiliti i tempi di ammortamento dell’opera e l’impegno per una</w:t>
      </w:r>
      <w:r w:rsidR="00782FE1">
        <w:rPr>
          <w:rFonts w:ascii="Arial" w:hAnsi="Arial" w:cs="Arial"/>
          <w:sz w:val="24"/>
          <w:szCs w:val="24"/>
        </w:rPr>
        <w:t xml:space="preserve"> </w:t>
      </w:r>
      <w:r w:rsidRPr="00782FE1">
        <w:rPr>
          <w:rFonts w:ascii="Arial" w:hAnsi="Arial" w:cs="Arial"/>
          <w:sz w:val="24"/>
          <w:szCs w:val="24"/>
        </w:rPr>
        <w:t>eventuale demolizione al fine di riportare i luoghi al primitivo stato.</w:t>
      </w:r>
    </w:p>
    <w:p w:rsidR="00782FE1" w:rsidRPr="00782FE1" w:rsidRDefault="00782FE1" w:rsidP="00782FE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82FE1" w:rsidRPr="00782FE1" w:rsidRDefault="00782FE1" w:rsidP="00782FE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2FE1">
        <w:rPr>
          <w:rFonts w:ascii="Arial" w:hAnsi="Arial" w:cs="Arial"/>
          <w:sz w:val="24"/>
          <w:szCs w:val="24"/>
        </w:rPr>
        <w:t>[source;block=end]</w:t>
      </w:r>
    </w:p>
    <w:sectPr w:rsidR="00782FE1" w:rsidRPr="00782FE1" w:rsidSect="00E57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06373"/>
    <w:rsid w:val="001B2B3C"/>
    <w:rsid w:val="00222C1B"/>
    <w:rsid w:val="003F2E35"/>
    <w:rsid w:val="0040598A"/>
    <w:rsid w:val="00461D2C"/>
    <w:rsid w:val="004B1974"/>
    <w:rsid w:val="004D6C8D"/>
    <w:rsid w:val="004F53D9"/>
    <w:rsid w:val="00733C54"/>
    <w:rsid w:val="00760A57"/>
    <w:rsid w:val="00782FE1"/>
    <w:rsid w:val="007D2301"/>
    <w:rsid w:val="007E618F"/>
    <w:rsid w:val="00902FF6"/>
    <w:rsid w:val="00B05B8A"/>
    <w:rsid w:val="00B36308"/>
    <w:rsid w:val="00B67028"/>
    <w:rsid w:val="00C904D9"/>
    <w:rsid w:val="00D33E29"/>
    <w:rsid w:val="00E579B2"/>
    <w:rsid w:val="00EA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79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2015-10-30T17:21:00Z</dcterms:modified>
</cp:coreProperties>
</file>