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b/>
          <w:bCs/>
          <w:color w:val="1F3B57"/>
          <w:sz w:val="56"/>
          <w:szCs w:val="56"/>
        </w:rPr>
        <w:t xml:space="preserve">Memory SDK</w:t>
      </w:r>
    </w:p>
    <w:p>
      <w:pPr>
        <w:spacing w:after="800"/>
        <w:jc w:val="center"/>
      </w:pPr>
      <w:r>
        <w:rPr>
          <w:i/>
          <w:iCs/>
          <w:color w:val="44546A"/>
          <w:sz w:val="28"/>
          <w:szCs w:val="28"/>
        </w:rPr>
        <w:t xml:space="preserve">A local-first, no-cloud-cost memory engine, with an n8n-native distribution channel</w:t>
      </w:r>
    </w:p>
    <w:p>
      <w:pPr>
        <w:spacing w:after="120"/>
        <w:jc w:val="center"/>
      </w:pPr>
      <w:r>
        <w:rPr>
          <w:color w:val="44546A"/>
          <w:sz w:val="22"/>
          <w:szCs w:val="22"/>
        </w:rPr>
        <w:t xml:space="preserve">Software Design &amp; Decision Document</w:t>
      </w:r>
    </w:p>
    <w:p>
      <w:pPr>
        <w:spacing w:after="120"/>
        <w:jc w:val="center"/>
      </w:pPr>
      <w:r>
        <w:rPr>
          <w:color w:val="44546A"/>
          <w:sz w:val="22"/>
          <w:szCs w:val="22"/>
        </w:rPr>
        <w:t xml:space="preserve">Living document — v1.0</w:t>
      </w:r>
    </w:p>
    <w:p>
      <w:pPr>
        <w:spacing w:after="120"/>
        <w:jc w:val="center"/>
      </w:pPr>
      <w:r>
        <w:rPr>
          <w:color w:val="44546A"/>
          <w:sz w:val="22"/>
          <w:szCs w:val="22"/>
        </w:rPr>
        <w:t xml:space="preserve">Owner: Mamoon Masood</w:t>
      </w:r>
    </w:p>
    <w:p>
      <w:r>
        <w:br w:type="page"/>
      </w:r>
    </w:p>
    <w:p>
      <w:pPr>
        <w:spacing w:after="240"/>
      </w:pPr>
      <w:r>
        <w:rPr>
          <w:b/>
          <w:bCs/>
          <w:color w:val="1F3B57"/>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b/>
          <w:bCs/>
          <w:color w:val="1F3B57"/>
        </w:rPr>
        <w:t xml:space="preserve">Vision</w:t>
      </w:r>
    </w:p>
    <w:p>
      <w:pPr>
        <w:spacing w:after="160"/>
      </w:pPr>
      <w:r>
        <w:t xml:space="preserve">A long-term memory engine for AI agents and low-code workflows that runs entirely on the user’s own infrastructure at zero recurring cost — for the specific segment (indie developers, n8n builders, cost-sensitive teams) that the funded incumbents are not optimizing for.</w:t>
      </w:r>
    </w:p>
    <w:p>
      <w:pPr>
        <w:pStyle w:val="Heading1"/>
        <w:spacing w:after="200" w:before="400"/>
      </w:pPr>
      <w:r>
        <w:rPr>
          <w:b/>
          <w:bCs/>
          <w:color w:val="1F3B57"/>
        </w:rPr>
        <w:t xml:space="preserve">Target Audience</w:t>
      </w:r>
    </w:p>
    <w:p>
      <w:pPr>
        <w:spacing w:after="160"/>
      </w:pPr>
      <w:r>
        <w:t xml:space="preserve">Two overlapping groups: (1) individual developers and small teams building agents who want persistent memory without a recurring cloud bill or a new account, and (2) n8n workflow builders, who currently have no first-party memory node with real semantic recall.</w:t>
      </w:r>
    </w:p>
    <w:p>
      <w:pPr>
        <w:pStyle w:val="Heading1"/>
        <w:spacing w:after="200" w:before="400"/>
      </w:pPr>
      <w:r>
        <w:rPr>
          <w:b/>
          <w:bCs/>
          <w:color w:val="1F3B57"/>
        </w:rPr>
        <w:t xml:space="preserve">Problem Statement</w:t>
      </w:r>
    </w:p>
    <w:p>
      <w:pPr>
        <w:spacing w:after="160"/>
      </w:pPr>
      <w:r>
        <w:t xml:space="preserve">LLM applications are stateless by default. Every team re-solves the same problem — extracting durable facts from conversation, embedding them, retrieving relevant ones, and resolving conflicts when facts change — usually by wiring together a vector DB and some ad-hoc prompt logic. That work is now a mature, competitive product category rather than a gap, which changes what this project should be.</w:t>
      </w:r>
    </w:p>
    <w:p>
      <w:pPr>
        <w:pStyle w:val="Heading1"/>
        <w:spacing w:after="200" w:before="400"/>
      </w:pPr>
      <w:r>
        <w:rPr>
          <w:b/>
          <w:bCs/>
          <w:color w:val="1F3B57"/>
        </w:rPr>
        <w:t xml:space="preserve">Market Reality Check</w:t>
      </w:r>
    </w:p>
    <w:p>
      <w:pPr>
        <w:spacing w:after="160"/>
      </w:pPr>
      <w:r>
        <w:t xml:space="preserve">This category is not just occupied, it is well-funded and benchmarked. Ignoring that would make the rest of this document dishonest:</w:t>
      </w:r>
    </w:p>
    <w:tbl>
      <w:tblPr>
        <w:tblW w:type="dxa" w:w="9000"/>
        <w:tblBorders>
          <w:top w:val="single" w:color="CCD3DA" w:sz="4"/>
          <w:left w:val="single" w:color="CCD3DA" w:sz="4"/>
          <w:bottom w:val="single" w:color="CCD3DA" w:sz="4"/>
          <w:right w:val="single" w:color="CCD3DA" w:sz="4"/>
          <w:insideH w:val="single" w:color="CCD3DA" w:sz="4"/>
          <w:insideV w:val="single" w:color="CCD3DA" w:sz="4"/>
        </w:tblBorders>
      </w:tblPr>
      <w:tblGrid>
        <w:gridCol w:w="1300"/>
        <w:gridCol w:w="2400"/>
        <w:gridCol w:w="2200"/>
        <w:gridCol w:w="1600"/>
        <w:gridCol w:w="1500"/>
      </w:tblGrid>
      <w:tr>
        <w:trPr>
          <w:tblHeader/>
        </w:trPr>
        <w:tc>
          <w:tcPr>
            <w:tcW w:type="dxa" w:w="1300"/>
            <w:shd w:fill="1F3B57" w:val="clear"/>
            <w:tcMar>
              <w:top w:type="dxa" w:w="100"/>
              <w:left w:type="dxa" w:w="120"/>
              <w:bottom w:type="dxa" w:w="100"/>
              <w:right w:type="dxa" w:w="120"/>
            </w:tcMar>
            <w:vAlign w:val="center"/>
          </w:tcPr>
          <w:p>
            <w:r>
              <w:rPr>
                <w:b/>
                <w:bCs/>
                <w:color w:val="FFFFFF"/>
                <w:sz w:val="20"/>
                <w:szCs w:val="20"/>
              </w:rPr>
              <w:t xml:space="preserve">Product</w:t>
            </w:r>
          </w:p>
        </w:tc>
        <w:tc>
          <w:tcPr>
            <w:tcW w:type="dxa" w:w="2400"/>
            <w:shd w:fill="1F3B57" w:val="clear"/>
            <w:tcMar>
              <w:top w:type="dxa" w:w="100"/>
              <w:left w:type="dxa" w:w="120"/>
              <w:bottom w:type="dxa" w:w="100"/>
              <w:right w:type="dxa" w:w="120"/>
            </w:tcMar>
            <w:vAlign w:val="center"/>
          </w:tcPr>
          <w:p>
            <w:r>
              <w:rPr>
                <w:b/>
                <w:bCs/>
                <w:color w:val="FFFFFF"/>
                <w:sz w:val="20"/>
                <w:szCs w:val="20"/>
              </w:rPr>
              <w:t xml:space="preserve">Approach</w:t>
            </w:r>
          </w:p>
        </w:tc>
        <w:tc>
          <w:tcPr>
            <w:tcW w:type="dxa" w:w="2200"/>
            <w:shd w:fill="1F3B57" w:val="clear"/>
            <w:tcMar>
              <w:top w:type="dxa" w:w="100"/>
              <w:left w:type="dxa" w:w="120"/>
              <w:bottom w:type="dxa" w:w="100"/>
              <w:right w:type="dxa" w:w="120"/>
            </w:tcMar>
            <w:vAlign w:val="center"/>
          </w:tcPr>
          <w:p>
            <w:r>
              <w:rPr>
                <w:b/>
                <w:bCs/>
                <w:color w:val="FFFFFF"/>
                <w:sz w:val="20"/>
                <w:szCs w:val="20"/>
              </w:rPr>
              <w:t xml:space="preserve">Traction / Funding</w:t>
            </w:r>
          </w:p>
        </w:tc>
        <w:tc>
          <w:tcPr>
            <w:tcW w:type="dxa" w:w="1600"/>
            <w:shd w:fill="1F3B57" w:val="clear"/>
            <w:tcMar>
              <w:top w:type="dxa" w:w="100"/>
              <w:left w:type="dxa" w:w="120"/>
              <w:bottom w:type="dxa" w:w="100"/>
              <w:right w:type="dxa" w:w="120"/>
            </w:tcMar>
            <w:vAlign w:val="center"/>
          </w:tcPr>
          <w:p>
            <w:r>
              <w:rPr>
                <w:b/>
                <w:bCs/>
                <w:color w:val="FFFFFF"/>
                <w:sz w:val="20"/>
                <w:szCs w:val="20"/>
              </w:rPr>
              <w:t xml:space="preserve">Pricing</w:t>
            </w:r>
          </w:p>
        </w:tc>
        <w:tc>
          <w:tcPr>
            <w:tcW w:type="dxa" w:w="1500"/>
            <w:shd w:fill="1F3B57" w:val="clear"/>
            <w:tcMar>
              <w:top w:type="dxa" w:w="100"/>
              <w:left w:type="dxa" w:w="120"/>
              <w:bottom w:type="dxa" w:w="100"/>
              <w:right w:type="dxa" w:w="120"/>
            </w:tcMar>
            <w:vAlign w:val="center"/>
          </w:tcPr>
          <w:p>
            <w:r>
              <w:rPr>
                <w:b/>
                <w:bCs/>
                <w:color w:val="FFFFFF"/>
                <w:sz w:val="20"/>
                <w:szCs w:val="20"/>
              </w:rPr>
              <w:t xml:space="preserve">LongMemEval (GPT-4o)</w:t>
            </w:r>
          </w:p>
        </w:tc>
      </w:tr>
      <w:tr>
        <w:tc>
          <w:tcPr>
            <w:tcW w:type="dxa" w:w="1300"/>
            <w:shd w:fill="FFFFFF" w:val="clear"/>
            <w:tcMar>
              <w:top w:type="dxa" w:w="90"/>
              <w:left w:type="dxa" w:w="120"/>
              <w:bottom w:type="dxa" w:w="90"/>
              <w:right w:type="dxa" w:w="120"/>
            </w:tcMar>
            <w:vAlign w:val="center"/>
          </w:tcPr>
          <w:p>
            <w:r>
              <w:rPr>
                <w:color w:val="2B2B2B"/>
                <w:sz w:val="20"/>
                <w:szCs w:val="20"/>
              </w:rPr>
              <w:t xml:space="preserve">Mem0</w:t>
            </w:r>
          </w:p>
        </w:tc>
        <w:tc>
          <w:tcPr>
            <w:tcW w:type="dxa" w:w="2400"/>
            <w:shd w:fill="FFFFFF" w:val="clear"/>
            <w:tcMar>
              <w:top w:type="dxa" w:w="90"/>
              <w:left w:type="dxa" w:w="120"/>
              <w:bottom w:type="dxa" w:w="90"/>
              <w:right w:type="dxa" w:w="120"/>
            </w:tcMar>
            <w:vAlign w:val="center"/>
          </w:tcPr>
          <w:p>
            <w:r>
              <w:rPr>
                <w:color w:val="2B2B2B"/>
                <w:sz w:val="20"/>
                <w:szCs w:val="20"/>
              </w:rPr>
              <w:t xml:space="preserve">Vector + graph + key-value, auto fact extraction</w:t>
            </w:r>
          </w:p>
        </w:tc>
        <w:tc>
          <w:tcPr>
            <w:tcW w:type="dxa" w:w="2200"/>
            <w:shd w:fill="FFFFFF" w:val="clear"/>
            <w:tcMar>
              <w:top w:type="dxa" w:w="90"/>
              <w:left w:type="dxa" w:w="120"/>
              <w:bottom w:type="dxa" w:w="90"/>
              <w:right w:type="dxa" w:w="120"/>
            </w:tcMar>
            <w:vAlign w:val="center"/>
          </w:tcPr>
          <w:p>
            <w:r>
              <w:rPr>
                <w:color w:val="2B2B2B"/>
                <w:sz w:val="20"/>
                <w:szCs w:val="20"/>
              </w:rPr>
              <w:t xml:space="preserve">~48k GitHub stars; $24M raised (seed+Series A); exclusive memory provider for AWS Agent SDK</w:t>
            </w:r>
          </w:p>
        </w:tc>
        <w:tc>
          <w:tcPr>
            <w:tcW w:type="dxa" w:w="1600"/>
            <w:shd w:fill="FFFFFF" w:val="clear"/>
            <w:tcMar>
              <w:top w:type="dxa" w:w="90"/>
              <w:left w:type="dxa" w:w="120"/>
              <w:bottom w:type="dxa" w:w="90"/>
              <w:right w:type="dxa" w:w="120"/>
            </w:tcMar>
            <w:vAlign w:val="center"/>
          </w:tcPr>
          <w:p>
            <w:r>
              <w:rPr>
                <w:color w:val="2B2B2B"/>
                <w:sz w:val="20"/>
                <w:szCs w:val="20"/>
              </w:rPr>
              <w:t xml:space="preserve">Free tier (10k req/mo), $19/mo Starter, $249/mo Pro (graph)</w:t>
            </w:r>
          </w:p>
        </w:tc>
        <w:tc>
          <w:tcPr>
            <w:tcW w:type="dxa" w:w="1500"/>
            <w:shd w:fill="FFFFFF" w:val="clear"/>
            <w:tcMar>
              <w:top w:type="dxa" w:w="90"/>
              <w:left w:type="dxa" w:w="120"/>
              <w:bottom w:type="dxa" w:w="90"/>
              <w:right w:type="dxa" w:w="120"/>
            </w:tcMar>
            <w:vAlign w:val="center"/>
          </w:tcPr>
          <w:p>
            <w:r>
              <w:rPr>
                <w:color w:val="2B2B2B"/>
                <w:sz w:val="20"/>
                <w:szCs w:val="20"/>
              </w:rPr>
              <w:t xml:space="preserve">~49.0%</w:t>
            </w:r>
          </w:p>
        </w:tc>
      </w:tr>
      <w:tr>
        <w:tc>
          <w:tcPr>
            <w:tcW w:type="dxa" w:w="1300"/>
            <w:shd w:fill="F4F6F8" w:val="clear"/>
            <w:tcMar>
              <w:top w:type="dxa" w:w="90"/>
              <w:left w:type="dxa" w:w="120"/>
              <w:bottom w:type="dxa" w:w="90"/>
              <w:right w:type="dxa" w:w="120"/>
            </w:tcMar>
            <w:vAlign w:val="center"/>
          </w:tcPr>
          <w:p>
            <w:r>
              <w:rPr>
                <w:color w:val="2B2B2B"/>
                <w:sz w:val="20"/>
                <w:szCs w:val="20"/>
              </w:rPr>
              <w:t xml:space="preserve">Zep (Graphiti)</w:t>
            </w:r>
          </w:p>
        </w:tc>
        <w:tc>
          <w:tcPr>
            <w:tcW w:type="dxa" w:w="2400"/>
            <w:shd w:fill="F4F6F8" w:val="clear"/>
            <w:tcMar>
              <w:top w:type="dxa" w:w="90"/>
              <w:left w:type="dxa" w:w="120"/>
              <w:bottom w:type="dxa" w:w="90"/>
              <w:right w:type="dxa" w:w="120"/>
            </w:tcMar>
            <w:vAlign w:val="center"/>
          </w:tcPr>
          <w:p>
            <w:r>
              <w:rPr>
                <w:color w:val="2B2B2B"/>
                <w:sz w:val="20"/>
                <w:szCs w:val="20"/>
              </w:rPr>
              <w:t xml:space="preserve">Temporal knowledge graph, validity windows on facts</w:t>
            </w:r>
          </w:p>
        </w:tc>
        <w:tc>
          <w:tcPr>
            <w:tcW w:type="dxa" w:w="2200"/>
            <w:shd w:fill="F4F6F8" w:val="clear"/>
            <w:tcMar>
              <w:top w:type="dxa" w:w="90"/>
              <w:left w:type="dxa" w:w="120"/>
              <w:bottom w:type="dxa" w:w="90"/>
              <w:right w:type="dxa" w:w="120"/>
            </w:tcMar>
            <w:vAlign w:val="center"/>
          </w:tcPr>
          <w:p>
            <w:r>
              <w:rPr>
                <w:color w:val="2B2B2B"/>
                <w:sz w:val="20"/>
                <w:szCs w:val="20"/>
              </w:rPr>
              <w:t xml:space="preserve">Apache-2.0 core, hosted Zep Cloud</w:t>
            </w:r>
          </w:p>
        </w:tc>
        <w:tc>
          <w:tcPr>
            <w:tcW w:type="dxa" w:w="1600"/>
            <w:shd w:fill="F4F6F8" w:val="clear"/>
            <w:tcMar>
              <w:top w:type="dxa" w:w="90"/>
              <w:left w:type="dxa" w:w="120"/>
              <w:bottom w:type="dxa" w:w="90"/>
              <w:right w:type="dxa" w:w="120"/>
            </w:tcMar>
            <w:vAlign w:val="center"/>
          </w:tcPr>
          <w:p>
            <w:r>
              <w:rPr>
                <w:color w:val="2B2B2B"/>
                <w:sz w:val="20"/>
                <w:szCs w:val="20"/>
              </w:rPr>
              <w:t xml:space="preserve">~$104/mo (Flex, annual)</w:t>
            </w:r>
          </w:p>
        </w:tc>
        <w:tc>
          <w:tcPr>
            <w:tcW w:type="dxa" w:w="1500"/>
            <w:shd w:fill="F4F6F8" w:val="clear"/>
            <w:tcMar>
              <w:top w:type="dxa" w:w="90"/>
              <w:left w:type="dxa" w:w="120"/>
              <w:bottom w:type="dxa" w:w="90"/>
              <w:right w:type="dxa" w:w="120"/>
            </w:tcMar>
            <w:vAlign w:val="center"/>
          </w:tcPr>
          <w:p>
            <w:r>
              <w:rPr>
                <w:color w:val="2B2B2B"/>
                <w:sz w:val="20"/>
                <w:szCs w:val="20"/>
              </w:rPr>
              <w:t xml:space="preserve">63.8% (best-in-class)</w:t>
            </w:r>
          </w:p>
        </w:tc>
      </w:tr>
      <w:tr>
        <w:tc>
          <w:tcPr>
            <w:tcW w:type="dxa" w:w="1300"/>
            <w:shd w:fill="FFFFFF" w:val="clear"/>
            <w:tcMar>
              <w:top w:type="dxa" w:w="90"/>
              <w:left w:type="dxa" w:w="120"/>
              <w:bottom w:type="dxa" w:w="90"/>
              <w:right w:type="dxa" w:w="120"/>
            </w:tcMar>
            <w:vAlign w:val="center"/>
          </w:tcPr>
          <w:p>
            <w:r>
              <w:rPr>
                <w:color w:val="2B2B2B"/>
                <w:sz w:val="20"/>
                <w:szCs w:val="20"/>
              </w:rPr>
              <w:t xml:space="preserve">Letta (ex-MemGPT)</w:t>
            </w:r>
          </w:p>
        </w:tc>
        <w:tc>
          <w:tcPr>
            <w:tcW w:type="dxa" w:w="2400"/>
            <w:shd w:fill="FFFFFF" w:val="clear"/>
            <w:tcMar>
              <w:top w:type="dxa" w:w="90"/>
              <w:left w:type="dxa" w:w="120"/>
              <w:bottom w:type="dxa" w:w="90"/>
              <w:right w:type="dxa" w:w="120"/>
            </w:tcMar>
            <w:vAlign w:val="center"/>
          </w:tcPr>
          <w:p>
            <w:r>
              <w:rPr>
                <w:color w:val="2B2B2B"/>
                <w:sz w:val="20"/>
                <w:szCs w:val="20"/>
              </w:rPr>
              <w:t xml:space="preserve">OS-inspired tiered memory (core/recall/archival), full agent runtime</w:t>
            </w:r>
          </w:p>
        </w:tc>
        <w:tc>
          <w:tcPr>
            <w:tcW w:type="dxa" w:w="2200"/>
            <w:shd w:fill="FFFFFF" w:val="clear"/>
            <w:tcMar>
              <w:top w:type="dxa" w:w="90"/>
              <w:left w:type="dxa" w:w="120"/>
              <w:bottom w:type="dxa" w:w="90"/>
              <w:right w:type="dxa" w:w="120"/>
            </w:tcMar>
            <w:vAlign w:val="center"/>
          </w:tcPr>
          <w:p>
            <w:r>
              <w:rPr>
                <w:color w:val="2B2B2B"/>
                <w:sz w:val="20"/>
                <w:szCs w:val="20"/>
              </w:rPr>
              <w:t xml:space="preserve">$10M seed at $70M valuation</w:t>
            </w:r>
          </w:p>
        </w:tc>
        <w:tc>
          <w:tcPr>
            <w:tcW w:type="dxa" w:w="1600"/>
            <w:shd w:fill="FFFFFF" w:val="clear"/>
            <w:tcMar>
              <w:top w:type="dxa" w:w="90"/>
              <w:left w:type="dxa" w:w="120"/>
              <w:bottom w:type="dxa" w:w="90"/>
              <w:right w:type="dxa" w:w="120"/>
            </w:tcMar>
            <w:vAlign w:val="center"/>
          </w:tcPr>
          <w:p>
            <w:r>
              <w:rPr>
                <w:color w:val="2B2B2B"/>
                <w:sz w:val="20"/>
                <w:szCs w:val="20"/>
              </w:rPr>
              <w:t xml:space="preserve">$20/mo Pro</w:t>
            </w:r>
          </w:p>
        </w:tc>
        <w:tc>
          <w:tcPr>
            <w:tcW w:type="dxa" w:w="1500"/>
            <w:shd w:fill="FFFFFF" w:val="clear"/>
            <w:tcMar>
              <w:top w:type="dxa" w:w="90"/>
              <w:left w:type="dxa" w:w="120"/>
              <w:bottom w:type="dxa" w:w="90"/>
              <w:right w:type="dxa" w:w="120"/>
            </w:tcMar>
            <w:vAlign w:val="center"/>
          </w:tcPr>
          <w:p>
            <w:r>
              <w:rPr>
                <w:color w:val="2B2B2B"/>
                <w:sz w:val="20"/>
                <w:szCs w:val="20"/>
              </w:rPr>
              <w:t xml:space="preserve">83.2% (per Letta benchmark)</w:t>
            </w:r>
          </w:p>
        </w:tc>
      </w:tr>
      <w:tr>
        <w:tc>
          <w:tcPr>
            <w:tcW w:type="dxa" w:w="1300"/>
            <w:shd w:fill="F4F6F8" w:val="clear"/>
            <w:tcMar>
              <w:top w:type="dxa" w:w="90"/>
              <w:left w:type="dxa" w:w="120"/>
              <w:bottom w:type="dxa" w:w="90"/>
              <w:right w:type="dxa" w:w="120"/>
            </w:tcMar>
            <w:vAlign w:val="center"/>
          </w:tcPr>
          <w:p>
            <w:r>
              <w:rPr>
                <w:color w:val="2B2B2B"/>
                <w:sz w:val="20"/>
                <w:szCs w:val="20"/>
              </w:rPr>
              <w:t xml:space="preserve">MemPalace</w:t>
            </w:r>
          </w:p>
        </w:tc>
        <w:tc>
          <w:tcPr>
            <w:tcW w:type="dxa" w:w="2400"/>
            <w:shd w:fill="F4F6F8" w:val="clear"/>
            <w:tcMar>
              <w:top w:type="dxa" w:w="90"/>
              <w:left w:type="dxa" w:w="120"/>
              <w:bottom w:type="dxa" w:w="90"/>
              <w:right w:type="dxa" w:w="120"/>
            </w:tcMar>
            <w:vAlign w:val="center"/>
          </w:tcPr>
          <w:p>
            <w:r>
              <w:rPr>
                <w:color w:val="2B2B2B"/>
                <w:sz w:val="20"/>
                <w:szCs w:val="20"/>
              </w:rPr>
              <w:t xml:space="preserve">Local-first, verbatim storage, zero API calls</w:t>
            </w:r>
          </w:p>
        </w:tc>
        <w:tc>
          <w:tcPr>
            <w:tcW w:type="dxa" w:w="2200"/>
            <w:shd w:fill="F4F6F8" w:val="clear"/>
            <w:tcMar>
              <w:top w:type="dxa" w:w="90"/>
              <w:left w:type="dxa" w:w="120"/>
              <w:bottom w:type="dxa" w:w="90"/>
              <w:right w:type="dxa" w:w="120"/>
            </w:tcMar>
            <w:vAlign w:val="center"/>
          </w:tcPr>
          <w:p>
            <w:r>
              <w:rPr>
                <w:color w:val="2B2B2B"/>
                <w:sz w:val="20"/>
                <w:szCs w:val="20"/>
              </w:rPr>
              <w:t xml:space="preserve">~54k GitHub stars gained within weeks of launch (June 2026), MIT</w:t>
            </w:r>
          </w:p>
        </w:tc>
        <w:tc>
          <w:tcPr>
            <w:tcW w:type="dxa" w:w="1600"/>
            <w:shd w:fill="F4F6F8" w:val="clear"/>
            <w:tcMar>
              <w:top w:type="dxa" w:w="90"/>
              <w:left w:type="dxa" w:w="120"/>
              <w:bottom w:type="dxa" w:w="90"/>
              <w:right w:type="dxa" w:w="120"/>
            </w:tcMar>
            <w:vAlign w:val="center"/>
          </w:tcPr>
          <w:p>
            <w:r>
              <w:rPr>
                <w:color w:val="2B2B2B"/>
                <w:sz w:val="20"/>
                <w:szCs w:val="20"/>
              </w:rPr>
              <w:t xml:space="preserve">Free / self-hosted only</w:t>
            </w:r>
          </w:p>
        </w:tc>
        <w:tc>
          <w:tcPr>
            <w:tcW w:type="dxa" w:w="1500"/>
            <w:shd w:fill="F4F6F8" w:val="clear"/>
            <w:tcMar>
              <w:top w:type="dxa" w:w="90"/>
              <w:left w:type="dxa" w:w="120"/>
              <w:bottom w:type="dxa" w:w="90"/>
              <w:right w:type="dxa" w:w="120"/>
            </w:tcMar>
            <w:vAlign w:val="center"/>
          </w:tcPr>
          <w:p>
            <w:r>
              <w:rPr>
                <w:color w:val="2B2B2B"/>
                <w:sz w:val="20"/>
                <w:szCs w:val="20"/>
              </w:rPr>
              <w:t xml:space="preserve">96.6% R@5 (different metric emphasis)</w:t>
            </w:r>
          </w:p>
        </w:tc>
      </w:tr>
      <w:tr>
        <w:tc>
          <w:tcPr>
            <w:tcW w:type="dxa" w:w="1300"/>
            <w:shd w:fill="FFFFFF" w:val="clear"/>
            <w:tcMar>
              <w:top w:type="dxa" w:w="90"/>
              <w:left w:type="dxa" w:w="120"/>
              <w:bottom w:type="dxa" w:w="90"/>
              <w:right w:type="dxa" w:w="120"/>
            </w:tcMar>
            <w:vAlign w:val="center"/>
          </w:tcPr>
          <w:p>
            <w:r>
              <w:rPr>
                <w:color w:val="2B2B2B"/>
                <w:sz w:val="20"/>
                <w:szCs w:val="20"/>
              </w:rPr>
              <w:t xml:space="preserve">Cognee</w:t>
            </w:r>
          </w:p>
        </w:tc>
        <w:tc>
          <w:tcPr>
            <w:tcW w:type="dxa" w:w="2400"/>
            <w:shd w:fill="FFFFFF" w:val="clear"/>
            <w:tcMar>
              <w:top w:type="dxa" w:w="90"/>
              <w:left w:type="dxa" w:w="120"/>
              <w:bottom w:type="dxa" w:w="90"/>
              <w:right w:type="dxa" w:w="120"/>
            </w:tcMar>
            <w:vAlign w:val="center"/>
          </w:tcPr>
          <w:p>
            <w:r>
              <w:rPr>
                <w:color w:val="2B2B2B"/>
                <w:sz w:val="20"/>
                <w:szCs w:val="20"/>
              </w:rPr>
              <w:t xml:space="preserve">Knowledge graph over arbitrary data sources, not just conversation</w:t>
            </w:r>
          </w:p>
        </w:tc>
        <w:tc>
          <w:tcPr>
            <w:tcW w:type="dxa" w:w="2200"/>
            <w:shd w:fill="FFFFFF" w:val="clear"/>
            <w:tcMar>
              <w:top w:type="dxa" w:w="90"/>
              <w:left w:type="dxa" w:w="120"/>
              <w:bottom w:type="dxa" w:w="90"/>
              <w:right w:type="dxa" w:w="120"/>
            </w:tcMar>
            <w:vAlign w:val="center"/>
          </w:tcPr>
          <w:p>
            <w:r>
              <w:rPr>
                <w:color w:val="2B2B2B"/>
                <w:sz w:val="20"/>
                <w:szCs w:val="20"/>
              </w:rPr>
              <w:t xml:space="preserve">Established OSS project</w:t>
            </w:r>
          </w:p>
        </w:tc>
        <w:tc>
          <w:tcPr>
            <w:tcW w:type="dxa" w:w="1600"/>
            <w:shd w:fill="FFFFFF" w:val="clear"/>
            <w:tcMar>
              <w:top w:type="dxa" w:w="90"/>
              <w:left w:type="dxa" w:w="120"/>
              <w:bottom w:type="dxa" w:w="90"/>
              <w:right w:type="dxa" w:w="120"/>
            </w:tcMar>
            <w:vAlign w:val="center"/>
          </w:tcPr>
          <w:p>
            <w:r>
              <w:rPr>
                <w:color w:val="2B2B2B"/>
                <w:sz w:val="20"/>
                <w:szCs w:val="20"/>
              </w:rPr>
              <w:t xml:space="preserve">Self-hosted / cloud</w:t>
            </w:r>
          </w:p>
        </w:tc>
        <w:tc>
          <w:tcPr>
            <w:tcW w:type="dxa" w:w="1500"/>
            <w:shd w:fill="FFFFFF" w:val="clear"/>
            <w:tcMar>
              <w:top w:type="dxa" w:w="90"/>
              <w:left w:type="dxa" w:w="120"/>
              <w:bottom w:type="dxa" w:w="90"/>
              <w:right w:type="dxa" w:w="120"/>
            </w:tcMar>
            <w:vAlign w:val="center"/>
          </w:tcPr>
          <w:p>
            <w:r>
              <w:rPr>
                <w:color w:val="2B2B2B"/>
                <w:sz w:val="20"/>
                <w:szCs w:val="20"/>
              </w:rPr>
              <w:t xml:space="preserve">n/a</w:t>
            </w:r>
          </w:p>
        </w:tc>
      </w:tr>
    </w:tbl>
    <w:p>
      <w:pPr>
        <w:spacing w:after="200"/>
      </w:pPr>
    </w:p>
    <w:tbl>
      <w:tblPr>
        <w:tblW w:type="pct" w:w="100%"/>
        <w:tblBorders>
          <w:top w:val="single" w:color="C0392B" w:sz="2"/>
          <w:left w:val="single" w:color="C0392B" w:sz="24"/>
          <w:bottom w:val="single" w:color="C0392B" w:sz="2"/>
          <w:right w:val="single" w:color="C0392B" w:sz="2"/>
          <w:insideH w:val="none" w:color="FFFFFF" w:sz="0"/>
          <w:insideV w:val="none" w:color="FFFFFF" w:sz="0"/>
        </w:tblBorders>
      </w:tblPr>
      <w:tblGrid>
        <w:gridCol w:w="100"/>
      </w:tblGrid>
      <w:tr>
        <w:tc>
          <w:tcPr>
            <w:shd w:fill="FDECEA" w:val="clear"/>
            <w:tcMar>
              <w:top w:type="dxa" w:w="140"/>
              <w:left w:type="dxa" w:w="200"/>
              <w:bottom w:type="dxa" w:w="140"/>
              <w:right w:type="dxa" w:w="200"/>
            </w:tcMar>
          </w:tcPr>
          <w:p>
            <w:pPr>
              <w:spacing w:after="60"/>
            </w:pPr>
            <w:r>
              <w:rPr>
                <w:b/>
                <w:bCs/>
                <w:color w:val="C0392B"/>
                <w:sz w:val="20"/>
                <w:szCs w:val="20"/>
              </w:rPr>
              <w:t xml:space="preserve">OPINION — do not position this as "a Memory SDK"</w:t>
            </w:r>
          </w:p>
          <w:p>
            <w:r>
              <w:rPr>
                <w:color w:val="2B2B2B"/>
                <w:sz w:val="21"/>
                <w:szCs w:val="21"/>
              </w:rPr>
              <w:t xml:space="preserve">Mem0 alone has 48k stars, a $24M raise, and is already the default memory provider wired into AWS’s Agent SDK. Zep beats it on the accuracy benchmark that matters most (temporal reasoning) and Letta beats both on architectural depth for long-running agents. A general-purpose "developer installs an SDK and gets memory" pitch is not a portfolio differentiator against that field — it reads as unaware of the space, which is worse than not building it. The one genuinely interesting signal in this market is MemPalace: it went from nothing to 54k stars in weeks purely on "runs locally, costs nothing, no cloud." That is a real, validated appetite, and it is the angle this project should take — not "as good as Mem0" but "costs $0 to run and never phones home."</w:t>
            </w:r>
          </w:p>
        </w:tc>
      </w:tr>
    </w:tbl>
    <w:p>
      <w:pPr>
        <w:spacing w:after="200"/>
      </w:pPr>
    </w:p>
    <w:tbl>
      <w:tblPr>
        <w:tblW w:type="pct" w:w="100%"/>
        <w:tblBorders>
          <w:top w:val="single" w:color="C0392B" w:sz="2"/>
          <w:left w:val="single" w:color="C0392B" w:sz="24"/>
          <w:bottom w:val="single" w:color="C0392B" w:sz="2"/>
          <w:right w:val="single" w:color="C0392B" w:sz="2"/>
          <w:insideH w:val="none" w:color="FFFFFF" w:sz="0"/>
          <w:insideV w:val="none" w:color="FFFFFF" w:sz="0"/>
        </w:tblBorders>
      </w:tblPr>
      <w:tblGrid>
        <w:gridCol w:w="100"/>
      </w:tblGrid>
      <w:tr>
        <w:tc>
          <w:tcPr>
            <w:shd w:fill="FDECEA" w:val="clear"/>
            <w:tcMar>
              <w:top w:type="dxa" w:w="140"/>
              <w:left w:type="dxa" w:w="200"/>
              <w:bottom w:type="dxa" w:w="140"/>
              <w:right w:type="dxa" w:w="200"/>
            </w:tcMar>
          </w:tcPr>
          <w:p>
            <w:pPr>
              <w:spacing w:after="60"/>
            </w:pPr>
            <w:r>
              <w:rPr>
                <w:b/>
                <w:bCs/>
                <w:color w:val="C0392B"/>
                <w:sz w:val="20"/>
                <w:szCs w:val="20"/>
              </w:rPr>
              <w:t xml:space="preserve">OPINION — the n8n angle is real but modest, not blue ocean</w:t>
            </w:r>
          </w:p>
          <w:p>
            <w:r>
              <w:rPr>
                <w:color w:val="2B2B2B"/>
                <w:sz w:val="21"/>
                <w:szCs w:val="21"/>
              </w:rPr>
              <w:t xml:space="preserve">There is genuine unmet demand — the n8n community forum has multiple open threads asking for a proper Mem0-style memory node, and n8n’s built-in memory options are widely described as weak. But it is not empty: a community node (kallbuloso/n8n-nodes-mem0) and a dedicated product (Memara, with five actions and three trigger nodes) already exist. The opportunity is "do it better and make it the obvious default," not "be first."</w:t>
            </w:r>
          </w:p>
        </w:tc>
      </w:tr>
    </w:tbl>
    <w:p>
      <w:pPr>
        <w:spacing w:after="200"/>
      </w:pPr>
    </w:p>
    <w:p>
      <w:pPr>
        <w:pStyle w:val="Heading1"/>
        <w:spacing w:after="200" w:before="400"/>
      </w:pPr>
      <w:r>
        <w:rPr>
          <w:b/>
          <w:bCs/>
          <w:color w:val="1F3B57"/>
        </w:rPr>
        <w:t xml:space="preserve">Goals</w:t>
      </w:r>
    </w:p>
    <w:p>
      <w:pPr>
        <w:pStyle w:val="ListParagraph"/>
        <w:numPr>
          <w:ilvl w:val="0"/>
          <w:numId w:val="2"/>
        </w:numPr>
        <w:spacing w:after="80"/>
      </w:pPr>
      <w:r>
        <w:t xml:space="preserve">Zero recurring infrastructure cost by default: local embedding model + embedded vector store, no API key required to get started.</w:t>
      </w:r>
    </w:p>
    <w:p>
      <w:pPr>
        <w:pStyle w:val="ListParagraph"/>
        <w:numPr>
          <w:ilvl w:val="0"/>
          <w:numId w:val="2"/>
        </w:numPr>
        <w:spacing w:after="80"/>
      </w:pPr>
      <w:r>
        <w:t xml:space="preserve">Structured memory (facts, preferences, entities) rather than raw conversation storage, with conflict resolution when a fact changes.</w:t>
      </w:r>
    </w:p>
    <w:p>
      <w:pPr>
        <w:pStyle w:val="ListParagraph"/>
        <w:numPr>
          <w:ilvl w:val="0"/>
          <w:numId w:val="2"/>
        </w:numPr>
        <w:spacing w:after="80"/>
      </w:pPr>
      <w:r>
        <w:t xml:space="preserve">A polished, well-documented n8n community node package (save / retrieve / search / forget) as the primary non-Python distribution channel.</w:t>
      </w:r>
    </w:p>
    <w:p>
      <w:pPr>
        <w:pStyle w:val="ListParagraph"/>
        <w:numPr>
          <w:ilvl w:val="0"/>
          <w:numId w:val="2"/>
        </w:numPr>
        <w:spacing w:after="80"/>
      </w:pPr>
      <w:r>
        <w:t xml:space="preserve">Provider-agnostic LLM layer so fact extraction can use whatever model the developer already has a key for.</w:t>
      </w:r>
    </w:p>
    <w:p>
      <w:pPr>
        <w:pStyle w:val="Heading1"/>
        <w:spacing w:after="200" w:before="400"/>
      </w:pPr>
      <w:r>
        <w:rPr>
          <w:b/>
          <w:bCs/>
          <w:color w:val="1F3B57"/>
        </w:rPr>
        <w:t xml:space="preserve">Non-Goals</w:t>
      </w:r>
    </w:p>
    <w:p>
      <w:pPr>
        <w:pStyle w:val="ListParagraph"/>
        <w:numPr>
          <w:ilvl w:val="0"/>
          <w:numId w:val="2"/>
        </w:numPr>
        <w:spacing w:after="80"/>
      </w:pPr>
      <w:r>
        <w:t xml:space="preserve">Not competing with Zep on temporal-graph accuracy or with Letta on full agent-runtime scope — no core/recall/archival tiering, no self-managing agent OS.</w:t>
      </w:r>
    </w:p>
    <w:p>
      <w:pPr>
        <w:pStyle w:val="ListParagraph"/>
        <w:numPr>
          <w:ilvl w:val="0"/>
          <w:numId w:val="2"/>
        </w:numPr>
        <w:spacing w:after="80"/>
      </w:pPr>
      <w:r>
        <w:t xml:space="preserve">Not a hosted multi-tenant SaaS in v1. No billing system, no managed cloud offering.</w:t>
      </w:r>
    </w:p>
    <w:p>
      <w:pPr>
        <w:pStyle w:val="ListParagraph"/>
        <w:numPr>
          <w:ilvl w:val="0"/>
          <w:numId w:val="2"/>
        </w:numPr>
        <w:spacing w:after="80"/>
      </w:pPr>
      <w:r>
        <w:t xml:space="preserve">Not a general knowledge-graph-over-everything platform (that is Cognee’s space).</w:t>
      </w:r>
    </w:p>
    <w:p>
      <w:pPr>
        <w:pStyle w:val="ListParagraph"/>
        <w:numPr>
          <w:ilvl w:val="0"/>
          <w:numId w:val="2"/>
        </w:numPr>
        <w:spacing w:after="80"/>
      </w:pPr>
      <w:r>
        <w:t xml:space="preserve">Not aiming to beat Mem0/Zep benchmark numbers — the pitch is cost and operational simplicity, not raw accuracy.</w:t>
      </w:r>
    </w:p>
    <w:p>
      <w:pPr>
        <w:pStyle w:val="Heading1"/>
        <w:spacing w:after="200" w:before="400"/>
      </w:pPr>
      <w:r>
        <w:rPr>
          <w:b/>
          <w:bCs/>
          <w:color w:val="1F3B57"/>
        </w:rPr>
        <w:t xml:space="preserve">Core Philosophy</w:t>
      </w:r>
    </w:p>
    <w:p>
      <w:pPr>
        <w:spacing w:after="160"/>
      </w:pPr>
      <w:r>
        <w:t xml:space="preserve">Memory should cost nothing to try and nothing to keep running at hobby scale. Every architectural choice is evaluated against: does this require an account, a cloud service, or a recurring bill? If yes, it goes in an optional "Standard" tier, never the default path.</w:t>
      </w:r>
    </w:p>
    <w:p>
      <w:pPr>
        <w:pStyle w:val="Heading1"/>
        <w:spacing w:after="200" w:before="400"/>
      </w:pPr>
      <w:r>
        <w:rPr>
          <w:b/>
          <w:bCs/>
          <w:color w:val="1F3B57"/>
        </w:rPr>
        <w:t xml:space="preserve">Architecture</w:t>
      </w:r>
    </w:p>
    <w:p>
      <w:pPr>
        <w:spacing w:after="160"/>
      </w:pPr>
      <w:r>
        <w:t xml:space="preserve">Pipeline: Message → Classification (worth storing? y/n) → Fact/Entity/Preference Extraction → Duplicate Check → Conflict Resolution → Importance Scoring → Local Embedding → Storage. Retrieval: query → embed → local similarity search → ranked facts back to the caller.</w:t>
      </w:r>
    </w:p>
    <w:p>
      <w:pPr>
        <w:pStyle w:val="Heading2"/>
        <w:spacing w:after="160" w:before="300"/>
      </w:pPr>
      <w:r>
        <w:rPr>
          <w:b/>
          <w:bCs/>
          <w:color w:val="44546A"/>
        </w:rPr>
        <w:t xml:space="preserve">Decision: storage — SQLite/local vs. Postgres+pgvector vs. Qdrant+Neo4j</w:t>
      </w:r>
    </w:p>
    <w:tbl>
      <w:tblPr>
        <w:tblW w:type="pct" w:w="100%"/>
        <w:tblBorders>
          <w:top w:val="single" w:color="1E6F5C" w:sz="2"/>
          <w:left w:val="single" w:color="1E6F5C" w:sz="24"/>
          <w:bottom w:val="single" w:color="1E6F5C" w:sz="2"/>
          <w:right w:val="single" w:color="1E6F5C" w:sz="2"/>
          <w:insideH w:val="none" w:color="FFFFFF" w:sz="0"/>
          <w:insideV w:val="none" w:color="FFFFFF" w:sz="0"/>
        </w:tblBorders>
      </w:tblPr>
      <w:tblGrid>
        <w:gridCol w:w="100"/>
      </w:tblGrid>
      <w:tr>
        <w:tc>
          <w:tcPr>
            <w:shd w:fill="E8F5F0" w:val="clear"/>
            <w:tcMar>
              <w:top w:type="dxa" w:w="140"/>
              <w:left w:type="dxa" w:w="200"/>
              <w:bottom w:type="dxa" w:w="140"/>
              <w:right w:type="dxa" w:w="200"/>
            </w:tcMar>
          </w:tcPr>
          <w:p>
            <w:pPr>
              <w:spacing w:after="60"/>
            </w:pPr>
            <w:r>
              <w:rPr>
                <w:b/>
                <w:bCs/>
                <w:color w:val="1E6F5C"/>
                <w:sz w:val="20"/>
                <w:szCs w:val="20"/>
              </w:rPr>
              <w:t xml:space="preserve">DECISION — SQLite (+ sqlite-vec) as the default, Postgres+pgvector as the opt-in Standard tier, no Neo4j in v1</w:t>
            </w:r>
          </w:p>
          <w:p>
            <w:r>
              <w:rPr>
                <w:color w:val="2B2B2B"/>
                <w:sz w:val="21"/>
                <w:szCs w:val="21"/>
              </w:rPr>
              <w:t xml:space="preserve">The original stack proposed Qdrant + PostgreSQL + Redis + optional Neo4j — four services for what is, at indie/hobby scale, a few thousand structured facts per user. That directly contradicts the "zero cloud cost" positioning decided above. Decision: default profile is a single SQLite file (facts + relationships as rows, sqlite-vec for similarity search) — this is genuinely zero-infra and matches what made MemPalace resonate. Offer Postgres+pgvector as an opt-in "Standard" tier for teams that want a shared, queryable store across multiple app instances (one service instead of three: no separate vector DB, no separate cache). Drop Neo4j from the roadmap entirely — relational tables model "user → preference → value" fine at this scale, and a graph database is a cost (an entire query language and ops burden) with no corresponding benefit until relationship queries get genuinely deep, which is a Zep-shaped problem, not this project’s.</w:t>
            </w:r>
          </w:p>
        </w:tc>
      </w:tr>
    </w:tbl>
    <w:p>
      <w:pPr>
        <w:spacing w:after="200"/>
      </w:pPr>
    </w:p>
    <w:p>
      <w:pPr>
        <w:pStyle w:val="Heading2"/>
        <w:spacing w:after="160" w:before="300"/>
      </w:pPr>
      <w:r>
        <w:rPr>
          <w:b/>
          <w:bCs/>
          <w:color w:val="44546A"/>
        </w:rPr>
        <w:t xml:space="preserve">Decision: pipeline orchestration</w:t>
      </w:r>
    </w:p>
    <w:tbl>
      <w:tblPr>
        <w:tblW w:type="pct" w:w="100%"/>
        <w:tblBorders>
          <w:top w:val="single" w:color="1E6F5C" w:sz="2"/>
          <w:left w:val="single" w:color="1E6F5C" w:sz="24"/>
          <w:bottom w:val="single" w:color="1E6F5C" w:sz="2"/>
          <w:right w:val="single" w:color="1E6F5C" w:sz="2"/>
          <w:insideH w:val="none" w:color="FFFFFF" w:sz="0"/>
          <w:insideV w:val="none" w:color="FFFFFF" w:sz="0"/>
        </w:tblBorders>
      </w:tblPr>
      <w:tblGrid>
        <w:gridCol w:w="100"/>
      </w:tblGrid>
      <w:tr>
        <w:tc>
          <w:tcPr>
            <w:shd w:fill="E8F5F0" w:val="clear"/>
            <w:tcMar>
              <w:top w:type="dxa" w:w="140"/>
              <w:left w:type="dxa" w:w="200"/>
              <w:bottom w:type="dxa" w:w="140"/>
              <w:right w:type="dxa" w:w="200"/>
            </w:tcMar>
          </w:tcPr>
          <w:p>
            <w:pPr>
              <w:spacing w:after="60"/>
            </w:pPr>
            <w:r>
              <w:rPr>
                <w:b/>
                <w:bCs/>
                <w:color w:val="1E6F5C"/>
                <w:sz w:val="20"/>
                <w:szCs w:val="20"/>
              </w:rPr>
              <w:t xml:space="preserve">DECISION — LangGraph, in-process, not a separate service</w:t>
            </w:r>
          </w:p>
          <w:p>
            <w:r>
              <w:rPr>
                <w:color w:val="2B2B2B"/>
                <w:sz w:val="21"/>
                <w:szCs w:val="21"/>
              </w:rPr>
              <w:t xml:space="preserve">The classify → extract → dedup → resolve-conflicts → score → embed → store pipeline has real branching (duplicate found vs. not) and multiple sequential LLM calls, which is exactly what LangGraph is for. Using it doesn’t change the local-first decision above — LangGraph is a Python library, not a service, so it runs inside the same process as the rest of the SDK. This replaces hand-rolled if/else pipeline code with something a reviewer can actually follow.</w:t>
            </w:r>
          </w:p>
        </w:tc>
      </w:tr>
    </w:tbl>
    <w:p>
      <w:pPr>
        <w:spacing w:after="200"/>
      </w:pPr>
    </w:p>
    <w:tbl>
      <w:tblPr>
        <w:tblW w:type="pct" w:w="100%"/>
        <w:tblBorders>
          <w:top w:val="single" w:color="C0392B" w:sz="2"/>
          <w:left w:val="single" w:color="C0392B" w:sz="24"/>
          <w:bottom w:val="single" w:color="C0392B" w:sz="2"/>
          <w:right w:val="single" w:color="C0392B" w:sz="2"/>
          <w:insideH w:val="none" w:color="FFFFFF" w:sz="0"/>
          <w:insideV w:val="none" w:color="FFFFFF" w:sz="0"/>
        </w:tblBorders>
      </w:tblPr>
      <w:tblGrid>
        <w:gridCol w:w="100"/>
      </w:tblGrid>
      <w:tr>
        <w:tc>
          <w:tcPr>
            <w:shd w:fill="FDECEA" w:val="clear"/>
            <w:tcMar>
              <w:top w:type="dxa" w:w="140"/>
              <w:left w:type="dxa" w:w="200"/>
              <w:bottom w:type="dxa" w:w="140"/>
              <w:right w:type="dxa" w:w="200"/>
            </w:tcMar>
          </w:tcPr>
          <w:p>
            <w:pPr>
              <w:spacing w:after="60"/>
            </w:pPr>
            <w:r>
              <w:rPr>
                <w:b/>
                <w:bCs/>
                <w:color w:val="C0392B"/>
                <w:sz w:val="20"/>
                <w:szCs w:val="20"/>
              </w:rPr>
              <w:t xml:space="preserve">NOTE — a "full enterprise" version of this stack has been circulating; it contradicts decisions already made here</w:t>
            </w:r>
          </w:p>
          <w:p>
            <w:r>
              <w:rPr>
                <w:color w:val="2B2B2B"/>
                <w:sz w:val="21"/>
                <w:szCs w:val="21"/>
              </w:rPr>
              <w:t xml:space="preserve">A separate write-up for this project (not authored by you) proposed a Django control-plane with billing/multi-tenancy/OAuth, a Kong/Traefik API gateway, six independently-scaled microservices, Kubernetes + Helm, Neo4j, and a Prometheus/Grafana/Loki/OpenTelemetry observability stack. None of that belongs in this document: it re-introduces a hosted multi-tenant SaaS, which the Non-Goals above explicitly rule out for v1, and it requires exactly the infrastructure the "zero recurring cost" positioning is built to avoid. If you ever pivot this project into an actual hosted product later, most of that write-up is a reasonable starting point for that different project — but it is not this one, and mixing the two scopes in one document is how a focused portfolio piece quietly turns into an unshippable platform. The one idea worth keeping from it is LangGraph for pipeline orchestration, folded in above.</w:t>
            </w:r>
          </w:p>
        </w:tc>
      </w:tr>
    </w:tbl>
    <w:p>
      <w:pPr>
        <w:spacing w:after="200"/>
      </w:pPr>
    </w:p>
    <w:p>
      <w:pPr>
        <w:pStyle w:val="Heading2"/>
        <w:spacing w:after="160" w:before="300"/>
      </w:pPr>
      <w:r>
        <w:rPr>
          <w:b/>
          <w:bCs/>
          <w:color w:val="44546A"/>
        </w:rPr>
        <w:t xml:space="preserve">Decision: embeddings — local model vs. API-based</w:t>
      </w:r>
    </w:p>
    <w:tbl>
      <w:tblPr>
        <w:tblW w:type="pct" w:w="100%"/>
        <w:tblBorders>
          <w:top w:val="single" w:color="1E6F5C" w:sz="2"/>
          <w:left w:val="single" w:color="1E6F5C" w:sz="24"/>
          <w:bottom w:val="single" w:color="1E6F5C" w:sz="2"/>
          <w:right w:val="single" w:color="1E6F5C" w:sz="2"/>
          <w:insideH w:val="none" w:color="FFFFFF" w:sz="0"/>
          <w:insideV w:val="none" w:color="FFFFFF" w:sz="0"/>
        </w:tblBorders>
      </w:tblPr>
      <w:tblGrid>
        <w:gridCol w:w="100"/>
      </w:tblGrid>
      <w:tr>
        <w:tc>
          <w:tcPr>
            <w:shd w:fill="E8F5F0" w:val="clear"/>
            <w:tcMar>
              <w:top w:type="dxa" w:w="140"/>
              <w:left w:type="dxa" w:w="200"/>
              <w:bottom w:type="dxa" w:w="140"/>
              <w:right w:type="dxa" w:w="200"/>
            </w:tcMar>
          </w:tcPr>
          <w:p>
            <w:pPr>
              <w:spacing w:after="60"/>
            </w:pPr>
            <w:r>
              <w:rPr>
                <w:b/>
                <w:bCs/>
                <w:color w:val="1E6F5C"/>
                <w:sz w:val="20"/>
                <w:szCs w:val="20"/>
              </w:rPr>
              <w:t xml:space="preserve">DECISION — local embedding model by default (fastembed/ONNX), API-based as opt-in</w:t>
            </w:r>
          </w:p>
          <w:p>
            <w:r>
              <w:rPr>
                <w:color w:val="2B2B2B"/>
                <w:sz w:val="21"/>
                <w:szCs w:val="21"/>
              </w:rPr>
              <w:t xml:space="preserve">API-based embeddings (OpenAI text-embedding-3-small at ~$0.02/1M tokens) are cheap in absolute terms but reintroduce exactly the "needs an API key and a bill" friction this project is meant to avoid, and they send fact text to a third party by default. A local ONNX embedding model (~90–130MB, e.g. quantized MiniLM/BGE-small) keeps the whole pipeline offline-capable. Offer an API-based embedding provider as a config option for teams who want higher retrieval quality and already accept a third-party model dependency elsewhere.</w:t>
            </w:r>
          </w:p>
        </w:tc>
      </w:tr>
    </w:tbl>
    <w:p>
      <w:pPr>
        <w:spacing w:after="200"/>
      </w:pPr>
    </w:p>
    <w:p>
      <w:pPr>
        <w:pStyle w:val="Heading1"/>
        <w:spacing w:after="200" w:before="400"/>
      </w:pPr>
      <w:r>
        <w:rPr>
          <w:b/>
          <w:bCs/>
          <w:color w:val="1F3B57"/>
        </w:rPr>
        <w:t xml:space="preserve">Technology Stack</w:t>
      </w:r>
    </w:p>
    <w:tbl>
      <w:tblPr>
        <w:tblW w:type="dxa" w:w="9000"/>
        <w:tblBorders>
          <w:top w:val="single" w:color="CCD3DA" w:sz="4"/>
          <w:left w:val="single" w:color="CCD3DA" w:sz="4"/>
          <w:bottom w:val="single" w:color="CCD3DA" w:sz="4"/>
          <w:right w:val="single" w:color="CCD3DA" w:sz="4"/>
          <w:insideH w:val="single" w:color="CCD3DA" w:sz="4"/>
          <w:insideV w:val="single" w:color="CCD3DA" w:sz="4"/>
        </w:tblBorders>
      </w:tblPr>
      <w:tblGrid>
        <w:gridCol w:w="2200"/>
        <w:gridCol w:w="2900"/>
        <w:gridCol w:w="3900"/>
      </w:tblGrid>
      <w:tr>
        <w:trPr>
          <w:tblHeader/>
        </w:trPr>
        <w:tc>
          <w:tcPr>
            <w:tcW w:type="dxa" w:w="2200"/>
            <w:shd w:fill="1F3B57" w:val="clear"/>
            <w:tcMar>
              <w:top w:type="dxa" w:w="100"/>
              <w:left w:type="dxa" w:w="120"/>
              <w:bottom w:type="dxa" w:w="100"/>
              <w:right w:type="dxa" w:w="120"/>
            </w:tcMar>
            <w:vAlign w:val="center"/>
          </w:tcPr>
          <w:p>
            <w:r>
              <w:rPr>
                <w:b/>
                <w:bCs/>
                <w:color w:val="FFFFFF"/>
                <w:sz w:val="20"/>
                <w:szCs w:val="20"/>
              </w:rPr>
              <w:t xml:space="preserve">Component</w:t>
            </w:r>
          </w:p>
        </w:tc>
        <w:tc>
          <w:tcPr>
            <w:tcW w:type="dxa" w:w="2900"/>
            <w:shd w:fill="1F3B57" w:val="clear"/>
            <w:tcMar>
              <w:top w:type="dxa" w:w="100"/>
              <w:left w:type="dxa" w:w="120"/>
              <w:bottom w:type="dxa" w:w="100"/>
              <w:right w:type="dxa" w:w="120"/>
            </w:tcMar>
            <w:vAlign w:val="center"/>
          </w:tcPr>
          <w:p>
            <w:r>
              <w:rPr>
                <w:b/>
                <w:bCs/>
                <w:color w:val="FFFFFF"/>
                <w:sz w:val="20"/>
                <w:szCs w:val="20"/>
              </w:rPr>
              <w:t xml:space="preserve">Technology</w:t>
            </w:r>
          </w:p>
        </w:tc>
        <w:tc>
          <w:tcPr>
            <w:tcW w:type="dxa" w:w="3900"/>
            <w:shd w:fill="1F3B57" w:val="clear"/>
            <w:tcMar>
              <w:top w:type="dxa" w:w="100"/>
              <w:left w:type="dxa" w:w="120"/>
              <w:bottom w:type="dxa" w:w="100"/>
              <w:right w:type="dxa" w:w="120"/>
            </w:tcMar>
            <w:vAlign w:val="center"/>
          </w:tcPr>
          <w:p>
            <w:r>
              <w:rPr>
                <w:b/>
                <w:bCs/>
                <w:color w:val="FFFFFF"/>
                <w:sz w:val="20"/>
                <w:szCs w:val="20"/>
              </w:rPr>
              <w:t xml:space="preserve">Why</w:t>
            </w:r>
          </w:p>
        </w:tc>
      </w:tr>
      <w:tr>
        <w:tc>
          <w:tcPr>
            <w:tcW w:type="dxa" w:w="2200"/>
            <w:shd w:fill="FFFFFF" w:val="clear"/>
            <w:tcMar>
              <w:top w:type="dxa" w:w="90"/>
              <w:left w:type="dxa" w:w="120"/>
              <w:bottom w:type="dxa" w:w="90"/>
              <w:right w:type="dxa" w:w="120"/>
            </w:tcMar>
            <w:vAlign w:val="center"/>
          </w:tcPr>
          <w:p>
            <w:r>
              <w:rPr>
                <w:color w:val="2B2B2B"/>
                <w:sz w:val="20"/>
                <w:szCs w:val="20"/>
              </w:rPr>
              <w:t xml:space="preserve">SDK language</w:t>
            </w:r>
          </w:p>
        </w:tc>
        <w:tc>
          <w:tcPr>
            <w:tcW w:type="dxa" w:w="2900"/>
            <w:shd w:fill="FFFFFF" w:val="clear"/>
            <w:tcMar>
              <w:top w:type="dxa" w:w="90"/>
              <w:left w:type="dxa" w:w="120"/>
              <w:bottom w:type="dxa" w:w="90"/>
              <w:right w:type="dxa" w:w="120"/>
            </w:tcMar>
            <w:vAlign w:val="center"/>
          </w:tcPr>
          <w:p>
            <w:r>
              <w:rPr>
                <w:color w:val="2B2B2B"/>
                <w:sz w:val="20"/>
                <w:szCs w:val="20"/>
              </w:rPr>
              <w:t xml:space="preserve">Python (TypeScript later)</w:t>
            </w:r>
          </w:p>
        </w:tc>
        <w:tc>
          <w:tcPr>
            <w:tcW w:type="dxa" w:w="3900"/>
            <w:shd w:fill="FFFFFF" w:val="clear"/>
            <w:tcMar>
              <w:top w:type="dxa" w:w="90"/>
              <w:left w:type="dxa" w:w="120"/>
              <w:bottom w:type="dxa" w:w="90"/>
              <w:right w:type="dxa" w:w="120"/>
            </w:tcMar>
            <w:vAlign w:val="center"/>
          </w:tcPr>
          <w:p>
            <w:r>
              <w:rPr>
                <w:color w:val="2B2B2B"/>
                <w:sz w:val="20"/>
                <w:szCs w:val="20"/>
              </w:rPr>
              <w:t xml:space="preserve">Matches primary developer audience and your own stack</w:t>
            </w:r>
          </w:p>
        </w:tc>
      </w:tr>
      <w:tr>
        <w:tc>
          <w:tcPr>
            <w:tcW w:type="dxa" w:w="2200"/>
            <w:shd w:fill="F4F6F8" w:val="clear"/>
            <w:tcMar>
              <w:top w:type="dxa" w:w="90"/>
              <w:left w:type="dxa" w:w="120"/>
              <w:bottom w:type="dxa" w:w="90"/>
              <w:right w:type="dxa" w:w="120"/>
            </w:tcMar>
            <w:vAlign w:val="center"/>
          </w:tcPr>
          <w:p>
            <w:r>
              <w:rPr>
                <w:color w:val="2B2B2B"/>
                <w:sz w:val="20"/>
                <w:szCs w:val="20"/>
              </w:rPr>
              <w:t xml:space="preserve">Storage (default)</w:t>
            </w:r>
          </w:p>
        </w:tc>
        <w:tc>
          <w:tcPr>
            <w:tcW w:type="dxa" w:w="2900"/>
            <w:shd w:fill="F4F6F8" w:val="clear"/>
            <w:tcMar>
              <w:top w:type="dxa" w:w="90"/>
              <w:left w:type="dxa" w:w="120"/>
              <w:bottom w:type="dxa" w:w="90"/>
              <w:right w:type="dxa" w:w="120"/>
            </w:tcMar>
            <w:vAlign w:val="center"/>
          </w:tcPr>
          <w:p>
            <w:r>
              <w:rPr>
                <w:color w:val="2B2B2B"/>
                <w:sz w:val="20"/>
                <w:szCs w:val="20"/>
              </w:rPr>
              <w:t xml:space="preserve">SQLite + sqlite-vec</w:t>
            </w:r>
          </w:p>
        </w:tc>
        <w:tc>
          <w:tcPr>
            <w:tcW w:type="dxa" w:w="3900"/>
            <w:shd w:fill="F4F6F8" w:val="clear"/>
            <w:tcMar>
              <w:top w:type="dxa" w:w="90"/>
              <w:left w:type="dxa" w:w="120"/>
              <w:bottom w:type="dxa" w:w="90"/>
              <w:right w:type="dxa" w:w="120"/>
            </w:tcMar>
            <w:vAlign w:val="center"/>
          </w:tcPr>
          <w:p>
            <w:r>
              <w:rPr>
                <w:color w:val="2B2B2B"/>
                <w:sz w:val="20"/>
                <w:szCs w:val="20"/>
              </w:rPr>
              <w:t xml:space="preserve">Zero-ops, single file, ships inside the package</w:t>
            </w:r>
          </w:p>
        </w:tc>
      </w:tr>
      <w:tr>
        <w:tc>
          <w:tcPr>
            <w:tcW w:type="dxa" w:w="2200"/>
            <w:shd w:fill="FFFFFF" w:val="clear"/>
            <w:tcMar>
              <w:top w:type="dxa" w:w="90"/>
              <w:left w:type="dxa" w:w="120"/>
              <w:bottom w:type="dxa" w:w="90"/>
              <w:right w:type="dxa" w:w="120"/>
            </w:tcMar>
            <w:vAlign w:val="center"/>
          </w:tcPr>
          <w:p>
            <w:r>
              <w:rPr>
                <w:color w:val="2B2B2B"/>
                <w:sz w:val="20"/>
                <w:szCs w:val="20"/>
              </w:rPr>
              <w:t xml:space="preserve">Storage (Standard tier)</w:t>
            </w:r>
          </w:p>
        </w:tc>
        <w:tc>
          <w:tcPr>
            <w:tcW w:type="dxa" w:w="2900"/>
            <w:shd w:fill="FFFFFF" w:val="clear"/>
            <w:tcMar>
              <w:top w:type="dxa" w:w="90"/>
              <w:left w:type="dxa" w:w="120"/>
              <w:bottom w:type="dxa" w:w="90"/>
              <w:right w:type="dxa" w:w="120"/>
            </w:tcMar>
            <w:vAlign w:val="center"/>
          </w:tcPr>
          <w:p>
            <w:r>
              <w:rPr>
                <w:color w:val="2B2B2B"/>
                <w:sz w:val="20"/>
                <w:szCs w:val="20"/>
              </w:rPr>
              <w:t xml:space="preserve">PostgreSQL + pgvector</w:t>
            </w:r>
          </w:p>
        </w:tc>
        <w:tc>
          <w:tcPr>
            <w:tcW w:type="dxa" w:w="3900"/>
            <w:shd w:fill="FFFFFF" w:val="clear"/>
            <w:tcMar>
              <w:top w:type="dxa" w:w="90"/>
              <w:left w:type="dxa" w:w="120"/>
              <w:bottom w:type="dxa" w:w="90"/>
              <w:right w:type="dxa" w:w="120"/>
            </w:tcMar>
            <w:vAlign w:val="center"/>
          </w:tcPr>
          <w:p>
            <w:r>
              <w:rPr>
                <w:color w:val="2B2B2B"/>
                <w:sz w:val="20"/>
                <w:szCs w:val="20"/>
              </w:rPr>
              <w:t xml:space="preserve">One extra service instead of three (Qdrant+Postgres+Redis); pgvector is fast enough at this scale</w:t>
            </w:r>
          </w:p>
        </w:tc>
      </w:tr>
      <w:tr>
        <w:tc>
          <w:tcPr>
            <w:tcW w:type="dxa" w:w="2200"/>
            <w:shd w:fill="F4F6F8" w:val="clear"/>
            <w:tcMar>
              <w:top w:type="dxa" w:w="90"/>
              <w:left w:type="dxa" w:w="120"/>
              <w:bottom w:type="dxa" w:w="90"/>
              <w:right w:type="dxa" w:w="120"/>
            </w:tcMar>
            <w:vAlign w:val="center"/>
          </w:tcPr>
          <w:p>
            <w:r>
              <w:rPr>
                <w:color w:val="2B2B2B"/>
                <w:sz w:val="20"/>
                <w:szCs w:val="20"/>
              </w:rPr>
              <w:t xml:space="preserve">Embeddings (default)</w:t>
            </w:r>
          </w:p>
        </w:tc>
        <w:tc>
          <w:tcPr>
            <w:tcW w:type="dxa" w:w="2900"/>
            <w:shd w:fill="F4F6F8" w:val="clear"/>
            <w:tcMar>
              <w:top w:type="dxa" w:w="90"/>
              <w:left w:type="dxa" w:w="120"/>
              <w:bottom w:type="dxa" w:w="90"/>
              <w:right w:type="dxa" w:w="120"/>
            </w:tcMar>
            <w:vAlign w:val="center"/>
          </w:tcPr>
          <w:p>
            <w:r>
              <w:rPr>
                <w:color w:val="2B2B2B"/>
                <w:sz w:val="20"/>
                <w:szCs w:val="20"/>
              </w:rPr>
              <w:t xml:space="preserve">fastembed (ONNX, quantized)</w:t>
            </w:r>
          </w:p>
        </w:tc>
        <w:tc>
          <w:tcPr>
            <w:tcW w:type="dxa" w:w="3900"/>
            <w:shd w:fill="F4F6F8" w:val="clear"/>
            <w:tcMar>
              <w:top w:type="dxa" w:w="90"/>
              <w:left w:type="dxa" w:w="120"/>
              <w:bottom w:type="dxa" w:w="90"/>
              <w:right w:type="dxa" w:w="120"/>
            </w:tcMar>
            <w:vAlign w:val="center"/>
          </w:tcPr>
          <w:p>
            <w:r>
              <w:rPr>
                <w:color w:val="2B2B2B"/>
                <w:sz w:val="20"/>
                <w:szCs w:val="20"/>
              </w:rPr>
              <w:t xml:space="preserve">Runs on CPU, no API key, no per-call cost, no data leaves the machine</w:t>
            </w:r>
          </w:p>
        </w:tc>
      </w:tr>
      <w:tr>
        <w:tc>
          <w:tcPr>
            <w:tcW w:type="dxa" w:w="2200"/>
            <w:shd w:fill="FFFFFF" w:val="clear"/>
            <w:tcMar>
              <w:top w:type="dxa" w:w="90"/>
              <w:left w:type="dxa" w:w="120"/>
              <w:bottom w:type="dxa" w:w="90"/>
              <w:right w:type="dxa" w:w="120"/>
            </w:tcMar>
            <w:vAlign w:val="center"/>
          </w:tcPr>
          <w:p>
            <w:r>
              <w:rPr>
                <w:color w:val="2B2B2B"/>
                <w:sz w:val="20"/>
                <w:szCs w:val="20"/>
              </w:rPr>
              <w:t xml:space="preserve">Embeddings (opt-in)</w:t>
            </w:r>
          </w:p>
        </w:tc>
        <w:tc>
          <w:tcPr>
            <w:tcW w:type="dxa" w:w="2900"/>
            <w:shd w:fill="FFFFFF" w:val="clear"/>
            <w:tcMar>
              <w:top w:type="dxa" w:w="90"/>
              <w:left w:type="dxa" w:w="120"/>
              <w:bottom w:type="dxa" w:w="90"/>
              <w:right w:type="dxa" w:w="120"/>
            </w:tcMar>
            <w:vAlign w:val="center"/>
          </w:tcPr>
          <w:p>
            <w:r>
              <w:rPr>
                <w:color w:val="2B2B2B"/>
                <w:sz w:val="20"/>
                <w:szCs w:val="20"/>
              </w:rPr>
              <w:t xml:space="preserve">OpenAI / any LiteLLM provider</w:t>
            </w:r>
          </w:p>
        </w:tc>
        <w:tc>
          <w:tcPr>
            <w:tcW w:type="dxa" w:w="3900"/>
            <w:shd w:fill="FFFFFF" w:val="clear"/>
            <w:tcMar>
              <w:top w:type="dxa" w:w="90"/>
              <w:left w:type="dxa" w:w="120"/>
              <w:bottom w:type="dxa" w:w="90"/>
              <w:right w:type="dxa" w:w="120"/>
            </w:tcMar>
            <w:vAlign w:val="center"/>
          </w:tcPr>
          <w:p>
            <w:r>
              <w:rPr>
                <w:color w:val="2B2B2B"/>
                <w:sz w:val="20"/>
                <w:szCs w:val="20"/>
              </w:rPr>
              <w:t xml:space="preserve">Higher retrieval quality when the user already accepts a cloud dependency</w:t>
            </w:r>
          </w:p>
        </w:tc>
      </w:tr>
      <w:tr>
        <w:tc>
          <w:tcPr>
            <w:tcW w:type="dxa" w:w="2200"/>
            <w:shd w:fill="F4F6F8" w:val="clear"/>
            <w:tcMar>
              <w:top w:type="dxa" w:w="90"/>
              <w:left w:type="dxa" w:w="120"/>
              <w:bottom w:type="dxa" w:w="90"/>
              <w:right w:type="dxa" w:w="120"/>
            </w:tcMar>
            <w:vAlign w:val="center"/>
          </w:tcPr>
          <w:p>
            <w:r>
              <w:rPr>
                <w:color w:val="2B2B2B"/>
                <w:sz w:val="20"/>
                <w:szCs w:val="20"/>
              </w:rPr>
              <w:t xml:space="preserve">LLM layer (fact extraction)</w:t>
            </w:r>
          </w:p>
        </w:tc>
        <w:tc>
          <w:tcPr>
            <w:tcW w:type="dxa" w:w="2900"/>
            <w:shd w:fill="F4F6F8" w:val="clear"/>
            <w:tcMar>
              <w:top w:type="dxa" w:w="90"/>
              <w:left w:type="dxa" w:w="120"/>
              <w:bottom w:type="dxa" w:w="90"/>
              <w:right w:type="dxa" w:w="120"/>
            </w:tcMar>
            <w:vAlign w:val="center"/>
          </w:tcPr>
          <w:p>
            <w:r>
              <w:rPr>
                <w:color w:val="2B2B2B"/>
                <w:sz w:val="20"/>
                <w:szCs w:val="20"/>
              </w:rPr>
              <w:t xml:space="preserve">LiteLLM</w:t>
            </w:r>
          </w:p>
        </w:tc>
        <w:tc>
          <w:tcPr>
            <w:tcW w:type="dxa" w:w="3900"/>
            <w:shd w:fill="F4F6F8" w:val="clear"/>
            <w:tcMar>
              <w:top w:type="dxa" w:w="90"/>
              <w:left w:type="dxa" w:w="120"/>
              <w:bottom w:type="dxa" w:w="90"/>
              <w:right w:type="dxa" w:w="120"/>
            </w:tcMar>
            <w:vAlign w:val="center"/>
          </w:tcPr>
          <w:p>
            <w:r>
              <w:rPr>
                <w:color w:val="2B2B2B"/>
                <w:sz w:val="20"/>
                <w:szCs w:val="20"/>
              </w:rPr>
              <w:t xml:space="preserve">Provider-agnostic; user brings their own key</w:t>
            </w:r>
          </w:p>
        </w:tc>
      </w:tr>
      <w:tr>
        <w:tc>
          <w:tcPr>
            <w:tcW w:type="dxa" w:w="2200"/>
            <w:shd w:fill="FFFFFF" w:val="clear"/>
            <w:tcMar>
              <w:top w:type="dxa" w:w="90"/>
              <w:left w:type="dxa" w:w="120"/>
              <w:bottom w:type="dxa" w:w="90"/>
              <w:right w:type="dxa" w:w="120"/>
            </w:tcMar>
            <w:vAlign w:val="center"/>
          </w:tcPr>
          <w:p>
            <w:r>
              <w:rPr>
                <w:color w:val="2B2B2B"/>
                <w:sz w:val="20"/>
                <w:szCs w:val="20"/>
              </w:rPr>
              <w:t xml:space="preserve">Pipeline orchestration</w:t>
            </w:r>
          </w:p>
        </w:tc>
        <w:tc>
          <w:tcPr>
            <w:tcW w:type="dxa" w:w="2900"/>
            <w:shd w:fill="FFFFFF" w:val="clear"/>
            <w:tcMar>
              <w:top w:type="dxa" w:w="90"/>
              <w:left w:type="dxa" w:w="120"/>
              <w:bottom w:type="dxa" w:w="90"/>
              <w:right w:type="dxa" w:w="120"/>
            </w:tcMar>
            <w:vAlign w:val="center"/>
          </w:tcPr>
          <w:p>
            <w:r>
              <w:rPr>
                <w:color w:val="2B2B2B"/>
                <w:sz w:val="20"/>
                <w:szCs w:val="20"/>
              </w:rPr>
              <w:t xml:space="preserve">LangGraph (in-process)</w:t>
            </w:r>
          </w:p>
        </w:tc>
        <w:tc>
          <w:tcPr>
            <w:tcW w:type="dxa" w:w="3900"/>
            <w:shd w:fill="FFFFFF" w:val="clear"/>
            <w:tcMar>
              <w:top w:type="dxa" w:w="90"/>
              <w:left w:type="dxa" w:w="120"/>
              <w:bottom w:type="dxa" w:w="90"/>
              <w:right w:type="dxa" w:w="120"/>
            </w:tcMar>
            <w:vAlign w:val="center"/>
          </w:tcPr>
          <w:p>
            <w:r>
              <w:rPr>
                <w:color w:val="2B2B2B"/>
                <w:sz w:val="20"/>
                <w:szCs w:val="20"/>
              </w:rPr>
              <w:t xml:space="preserve">Handles the classify/extract/dedup branching cleanly; a Python library, not a separate service</w:t>
            </w:r>
          </w:p>
        </w:tc>
      </w:tr>
      <w:tr>
        <w:tc>
          <w:tcPr>
            <w:tcW w:type="dxa" w:w="2200"/>
            <w:shd w:fill="F4F6F8" w:val="clear"/>
            <w:tcMar>
              <w:top w:type="dxa" w:w="90"/>
              <w:left w:type="dxa" w:w="120"/>
              <w:bottom w:type="dxa" w:w="90"/>
              <w:right w:type="dxa" w:w="120"/>
            </w:tcMar>
            <w:vAlign w:val="center"/>
          </w:tcPr>
          <w:p>
            <w:r>
              <w:rPr>
                <w:color w:val="2B2B2B"/>
                <w:sz w:val="20"/>
                <w:szCs w:val="20"/>
              </w:rPr>
              <w:t xml:space="preserve">Async processing</w:t>
            </w:r>
          </w:p>
        </w:tc>
        <w:tc>
          <w:tcPr>
            <w:tcW w:type="dxa" w:w="2900"/>
            <w:shd w:fill="F4F6F8" w:val="clear"/>
            <w:tcMar>
              <w:top w:type="dxa" w:w="90"/>
              <w:left w:type="dxa" w:w="120"/>
              <w:bottom w:type="dxa" w:w="90"/>
              <w:right w:type="dxa" w:w="120"/>
            </w:tcMar>
            <w:vAlign w:val="center"/>
          </w:tcPr>
          <w:p>
            <w:r>
              <w:rPr>
                <w:color w:val="2B2B2B"/>
                <w:sz w:val="20"/>
                <w:szCs w:val="20"/>
              </w:rPr>
              <w:t xml:space="preserve">Simple in-process queue (Standard tier: Celery+Redis only if a real multi-worker need appears)</w:t>
            </w:r>
          </w:p>
        </w:tc>
        <w:tc>
          <w:tcPr>
            <w:tcW w:type="dxa" w:w="3900"/>
            <w:shd w:fill="F4F6F8" w:val="clear"/>
            <w:tcMar>
              <w:top w:type="dxa" w:w="90"/>
              <w:left w:type="dxa" w:w="120"/>
              <w:bottom w:type="dxa" w:w="90"/>
              <w:right w:type="dxa" w:w="120"/>
            </w:tcMar>
            <w:vAlign w:val="center"/>
          </w:tcPr>
          <w:p>
            <w:r>
              <w:rPr>
                <w:color w:val="2B2B2B"/>
                <w:sz w:val="20"/>
                <w:szCs w:val="20"/>
              </w:rPr>
              <w:t xml:space="preserve">Avoid Celery/Redis as a default dependency for what is a lightweight, bursty workload at this scale</w:t>
            </w:r>
          </w:p>
        </w:tc>
      </w:tr>
      <w:tr>
        <w:tc>
          <w:tcPr>
            <w:tcW w:type="dxa" w:w="2200"/>
            <w:shd w:fill="FFFFFF" w:val="clear"/>
            <w:tcMar>
              <w:top w:type="dxa" w:w="90"/>
              <w:left w:type="dxa" w:w="120"/>
              <w:bottom w:type="dxa" w:w="90"/>
              <w:right w:type="dxa" w:w="120"/>
            </w:tcMar>
            <w:vAlign w:val="center"/>
          </w:tcPr>
          <w:p>
            <w:r>
              <w:rPr>
                <w:color w:val="2B2B2B"/>
                <w:sz w:val="20"/>
                <w:szCs w:val="20"/>
              </w:rPr>
              <w:t xml:space="preserve">Workflow distribution</w:t>
            </w:r>
          </w:p>
        </w:tc>
        <w:tc>
          <w:tcPr>
            <w:tcW w:type="dxa" w:w="2900"/>
            <w:shd w:fill="FFFFFF" w:val="clear"/>
            <w:tcMar>
              <w:top w:type="dxa" w:w="90"/>
              <w:left w:type="dxa" w:w="120"/>
              <w:bottom w:type="dxa" w:w="90"/>
              <w:right w:type="dxa" w:w="120"/>
            </w:tcMar>
            <w:vAlign w:val="center"/>
          </w:tcPr>
          <w:p>
            <w:r>
              <w:rPr>
                <w:color w:val="2B2B2B"/>
                <w:sz w:val="20"/>
                <w:szCs w:val="20"/>
              </w:rPr>
              <w:t xml:space="preserve">n8n community node package (save / retrieve / search / forget)</w:t>
            </w:r>
          </w:p>
        </w:tc>
        <w:tc>
          <w:tcPr>
            <w:tcW w:type="dxa" w:w="3900"/>
            <w:shd w:fill="FFFFFF" w:val="clear"/>
            <w:tcMar>
              <w:top w:type="dxa" w:w="90"/>
              <w:left w:type="dxa" w:w="120"/>
              <w:bottom w:type="dxa" w:w="90"/>
              <w:right w:type="dxa" w:w="120"/>
            </w:tcMar>
            <w:vAlign w:val="center"/>
          </w:tcPr>
          <w:p>
            <w:r>
              <w:rPr>
                <w:color w:val="2B2B2B"/>
                <w:sz w:val="20"/>
                <w:szCs w:val="20"/>
              </w:rPr>
              <w:t xml:space="preserve">The validated, underserved distribution channel identified in the market check</w:t>
            </w:r>
          </w:p>
        </w:tc>
      </w:tr>
      <w:tr>
        <w:tc>
          <w:tcPr>
            <w:tcW w:type="dxa" w:w="2200"/>
            <w:shd w:fill="F4F6F8" w:val="clear"/>
            <w:tcMar>
              <w:top w:type="dxa" w:w="90"/>
              <w:left w:type="dxa" w:w="120"/>
              <w:bottom w:type="dxa" w:w="90"/>
              <w:right w:type="dxa" w:w="120"/>
            </w:tcMar>
            <w:vAlign w:val="center"/>
          </w:tcPr>
          <w:p>
            <w:r>
              <w:rPr>
                <w:color w:val="2B2B2B"/>
                <w:sz w:val="20"/>
                <w:szCs w:val="20"/>
              </w:rPr>
              <w:t xml:space="preserve">Deployment</w:t>
            </w:r>
          </w:p>
        </w:tc>
        <w:tc>
          <w:tcPr>
            <w:tcW w:type="dxa" w:w="2900"/>
            <w:shd w:fill="F4F6F8" w:val="clear"/>
            <w:tcMar>
              <w:top w:type="dxa" w:w="90"/>
              <w:left w:type="dxa" w:w="120"/>
              <w:bottom w:type="dxa" w:w="90"/>
              <w:right w:type="dxa" w:w="120"/>
            </w:tcMar>
            <w:vAlign w:val="center"/>
          </w:tcPr>
          <w:p>
            <w:r>
              <w:rPr>
                <w:color w:val="2B2B2B"/>
                <w:sz w:val="20"/>
                <w:szCs w:val="20"/>
              </w:rPr>
              <w:t xml:space="preserve">Docker (optional, for Standard tier only)</w:t>
            </w:r>
          </w:p>
        </w:tc>
        <w:tc>
          <w:tcPr>
            <w:tcW w:type="dxa" w:w="3900"/>
            <w:shd w:fill="F4F6F8" w:val="clear"/>
            <w:tcMar>
              <w:top w:type="dxa" w:w="90"/>
              <w:left w:type="dxa" w:w="120"/>
              <w:bottom w:type="dxa" w:w="90"/>
              <w:right w:type="dxa" w:w="120"/>
            </w:tcMar>
            <w:vAlign w:val="center"/>
          </w:tcPr>
          <w:p>
            <w:r>
              <w:rPr>
                <w:color w:val="2B2B2B"/>
                <w:sz w:val="20"/>
                <w:szCs w:val="20"/>
              </w:rPr>
              <w:t xml:space="preserve">Default profile needs no container at all</w:t>
            </w:r>
          </w:p>
        </w:tc>
      </w:tr>
    </w:tbl>
    <w:p>
      <w:pPr>
        <w:pStyle w:val="Heading1"/>
        <w:spacing w:after="200" w:before="400"/>
      </w:pPr>
      <w:r>
        <w:rPr>
          <w:b/>
          <w:bCs/>
          <w:color w:val="1F3B57"/>
        </w:rPr>
        <w:t xml:space="preserve">Major Components</w:t>
      </w:r>
    </w:p>
    <w:p>
      <w:pPr>
        <w:pStyle w:val="ListParagraph"/>
        <w:numPr>
          <w:ilvl w:val="0"/>
          <w:numId w:val="2"/>
        </w:numPr>
        <w:spacing w:after="80"/>
      </w:pPr>
      <w:r>
        <w:t xml:space="preserve">memory.save(user_id, message) — runs the classification → extraction → conflict-resolution → storage pipeline.</w:t>
      </w:r>
    </w:p>
    <w:p>
      <w:pPr>
        <w:pStyle w:val="ListParagraph"/>
        <w:numPr>
          <w:ilvl w:val="0"/>
          <w:numId w:val="2"/>
        </w:numPr>
        <w:spacing w:after="80"/>
      </w:pPr>
      <w:r>
        <w:t xml:space="preserve">memory.retrieve(user_id, query) — embeds the query, ranks stored facts by relevance + importance + recency.</w:t>
      </w:r>
    </w:p>
    <w:p>
      <w:pPr>
        <w:pStyle w:val="ListParagraph"/>
        <w:numPr>
          <w:ilvl w:val="0"/>
          <w:numId w:val="2"/>
        </w:numPr>
        <w:spacing w:after="80"/>
      </w:pPr>
      <w:r>
        <w:t xml:space="preserve">memory.timeline(user_id) / memory.graph(user_id) — read-only views over stored facts and their relationships, rendered in Memory Studio.</w:t>
      </w:r>
    </w:p>
    <w:p>
      <w:pPr>
        <w:pStyle w:val="ListParagraph"/>
        <w:numPr>
          <w:ilvl w:val="0"/>
          <w:numId w:val="2"/>
        </w:numPr>
        <w:spacing w:after="80"/>
      </w:pPr>
      <w:r>
        <w:t xml:space="preserve">Memory Studio — lightweight local web UI (not a hosted dashboard) for inspecting, editing, pinning, and deleting memories.</w:t>
      </w:r>
    </w:p>
    <w:p>
      <w:pPr>
        <w:pStyle w:val="ListParagraph"/>
        <w:numPr>
          <w:ilvl w:val="0"/>
          <w:numId w:val="2"/>
        </w:numPr>
        <w:spacing w:after="80"/>
      </w:pPr>
      <w:r>
        <w:t xml:space="preserve">n8n node package — Memory Save / Memory Retrieve / Memory Search / Memory Forget, talking to a local or self-hosted Memory SDK instance over HTTP.</w:t>
      </w:r>
    </w:p>
    <w:p>
      <w:pPr>
        <w:pStyle w:val="Heading1"/>
        <w:spacing w:after="200" w:before="400"/>
      </w:pPr>
      <w:r>
        <w:rPr>
          <w:b/>
          <w:bCs/>
          <w:color w:val="1F3B57"/>
        </w:rPr>
        <w:t xml:space="preserve">Distribution / Deployment Model</w:t>
      </w:r>
    </w:p>
    <w:p>
      <w:pPr>
        <w:spacing w:after="160"/>
      </w:pPr>
      <w:r>
        <w:t xml:space="preserve">Python package via PyPI: pip install &lt;name&gt;. Works immediately against the local SQLite profile with no other setup. The n8n integration ships as a separate npm-published community node package, installed from the n8n community nodes panel, which talks to a local Memory SDK instance (run via a single Docker command or a local Python process) over a small HTTP API. No hosted service is required for either path in v1.</w:t>
      </w:r>
    </w:p>
    <w:p>
      <w:pPr>
        <w:pStyle w:val="Heading1"/>
        <w:spacing w:after="200" w:before="400"/>
      </w:pPr>
      <w:r>
        <w:rPr>
          <w:b/>
          <w:bCs/>
          <w:color w:val="1F3B57"/>
        </w:rPr>
        <w:t xml:space="preserve">Resource Budget</w:t>
      </w:r>
    </w:p>
    <w:tbl>
      <w:tblPr>
        <w:tblW w:type="dxa" w:w="10000"/>
        <w:tblBorders>
          <w:top w:val="single" w:color="CCD3DA" w:sz="4"/>
          <w:left w:val="single" w:color="CCD3DA" w:sz="4"/>
          <w:bottom w:val="single" w:color="CCD3DA" w:sz="4"/>
          <w:right w:val="single" w:color="CCD3DA" w:sz="4"/>
          <w:insideH w:val="single" w:color="CCD3DA" w:sz="4"/>
          <w:insideV w:val="single" w:color="CCD3DA" w:sz="4"/>
        </w:tblBorders>
      </w:tblPr>
      <w:tblGrid>
        <w:gridCol w:w="1400"/>
        <w:gridCol w:w="2300"/>
        <w:gridCol w:w="1400"/>
        <w:gridCol w:w="1900"/>
        <w:gridCol w:w="1300"/>
        <w:gridCol w:w="1700"/>
      </w:tblGrid>
      <w:tr>
        <w:trPr>
          <w:tblHeader/>
        </w:trPr>
        <w:tc>
          <w:tcPr>
            <w:tcW w:type="dxa" w:w="1400"/>
            <w:shd w:fill="1F3B57" w:val="clear"/>
            <w:tcMar>
              <w:top w:type="dxa" w:w="100"/>
              <w:left w:type="dxa" w:w="120"/>
              <w:bottom w:type="dxa" w:w="100"/>
              <w:right w:type="dxa" w:w="120"/>
            </w:tcMar>
            <w:vAlign w:val="center"/>
          </w:tcPr>
          <w:p>
            <w:r>
              <w:rPr>
                <w:b/>
                <w:bCs/>
                <w:color w:val="FFFFFF"/>
                <w:sz w:val="20"/>
                <w:szCs w:val="20"/>
              </w:rPr>
              <w:t xml:space="preserve">Profile</w:t>
            </w:r>
          </w:p>
        </w:tc>
        <w:tc>
          <w:tcPr>
            <w:tcW w:type="dxa" w:w="2300"/>
            <w:shd w:fill="1F3B57" w:val="clear"/>
            <w:tcMar>
              <w:top w:type="dxa" w:w="100"/>
              <w:left w:type="dxa" w:w="120"/>
              <w:bottom w:type="dxa" w:w="100"/>
              <w:right w:type="dxa" w:w="120"/>
            </w:tcMar>
            <w:vAlign w:val="center"/>
          </w:tcPr>
          <w:p>
            <w:r>
              <w:rPr>
                <w:b/>
                <w:bCs/>
                <w:color w:val="FFFFFF"/>
                <w:sz w:val="20"/>
                <w:szCs w:val="20"/>
              </w:rPr>
              <w:t xml:space="preserve">Infra to run</w:t>
            </w:r>
          </w:p>
        </w:tc>
        <w:tc>
          <w:tcPr>
            <w:tcW w:type="dxa" w:w="1400"/>
            <w:shd w:fill="1F3B57" w:val="clear"/>
            <w:tcMar>
              <w:top w:type="dxa" w:w="100"/>
              <w:left w:type="dxa" w:w="120"/>
              <w:bottom w:type="dxa" w:w="100"/>
              <w:right w:type="dxa" w:w="120"/>
            </w:tcMar>
            <w:vAlign w:val="center"/>
          </w:tcPr>
          <w:p>
            <w:r>
              <w:rPr>
                <w:b/>
                <w:bCs/>
                <w:color w:val="FFFFFF"/>
                <w:sz w:val="20"/>
                <w:szCs w:val="20"/>
              </w:rPr>
              <w:t xml:space="preserve">RAM</w:t>
            </w:r>
          </w:p>
        </w:tc>
        <w:tc>
          <w:tcPr>
            <w:tcW w:type="dxa" w:w="1900"/>
            <w:shd w:fill="1F3B57" w:val="clear"/>
            <w:tcMar>
              <w:top w:type="dxa" w:w="100"/>
              <w:left w:type="dxa" w:w="120"/>
              <w:bottom w:type="dxa" w:w="100"/>
              <w:right w:type="dxa" w:w="120"/>
            </w:tcMar>
            <w:vAlign w:val="center"/>
          </w:tcPr>
          <w:p>
            <w:r>
              <w:rPr>
                <w:b/>
                <w:bCs/>
                <w:color w:val="FFFFFF"/>
                <w:sz w:val="20"/>
                <w:szCs w:val="20"/>
              </w:rPr>
              <w:t xml:space="preserve">Disk (per 10k memories)</w:t>
            </w:r>
          </w:p>
        </w:tc>
        <w:tc>
          <w:tcPr>
            <w:tcW w:type="dxa" w:w="1300"/>
            <w:shd w:fill="1F3B57" w:val="clear"/>
            <w:tcMar>
              <w:top w:type="dxa" w:w="100"/>
              <w:left w:type="dxa" w:w="120"/>
              <w:bottom w:type="dxa" w:w="100"/>
              <w:right w:type="dxa" w:w="120"/>
            </w:tcMar>
            <w:vAlign w:val="center"/>
          </w:tcPr>
          <w:p>
            <w:r>
              <w:rPr>
                <w:b/>
                <w:bCs/>
                <w:color w:val="FFFFFF"/>
                <w:sz w:val="20"/>
                <w:szCs w:val="20"/>
              </w:rPr>
              <w:t xml:space="preserve">Monthly infra cost</w:t>
            </w:r>
          </w:p>
        </w:tc>
        <w:tc>
          <w:tcPr>
            <w:tcW w:type="dxa" w:w="1700"/>
            <w:shd w:fill="1F3B57" w:val="clear"/>
            <w:tcMar>
              <w:top w:type="dxa" w:w="100"/>
              <w:left w:type="dxa" w:w="120"/>
              <w:bottom w:type="dxa" w:w="100"/>
              <w:right w:type="dxa" w:w="120"/>
            </w:tcMar>
            <w:vAlign w:val="center"/>
          </w:tcPr>
          <w:p>
            <w:r>
              <w:rPr>
                <w:b/>
                <w:bCs/>
                <w:color w:val="FFFFFF"/>
                <w:sz w:val="20"/>
                <w:szCs w:val="20"/>
              </w:rPr>
              <w:t xml:space="preserve">Per-1k-messages processing cost*</w:t>
            </w:r>
          </w:p>
        </w:tc>
      </w:tr>
      <w:tr>
        <w:tc>
          <w:tcPr>
            <w:tcW w:type="dxa" w:w="1400"/>
            <w:shd w:fill="FFFFFF" w:val="clear"/>
            <w:tcMar>
              <w:top w:type="dxa" w:w="90"/>
              <w:left w:type="dxa" w:w="120"/>
              <w:bottom w:type="dxa" w:w="90"/>
              <w:right w:type="dxa" w:w="120"/>
            </w:tcMar>
            <w:vAlign w:val="center"/>
          </w:tcPr>
          <w:p>
            <w:r>
              <w:rPr>
                <w:color w:val="2B2B2B"/>
                <w:sz w:val="20"/>
                <w:szCs w:val="20"/>
              </w:rPr>
              <w:t xml:space="preserve">Lite (default)</w:t>
            </w:r>
          </w:p>
        </w:tc>
        <w:tc>
          <w:tcPr>
            <w:tcW w:type="dxa" w:w="2300"/>
            <w:shd w:fill="FFFFFF" w:val="clear"/>
            <w:tcMar>
              <w:top w:type="dxa" w:w="90"/>
              <w:left w:type="dxa" w:w="120"/>
              <w:bottom w:type="dxa" w:w="90"/>
              <w:right w:type="dxa" w:w="120"/>
            </w:tcMar>
            <w:vAlign w:val="center"/>
          </w:tcPr>
          <w:p>
            <w:r>
              <w:rPr>
                <w:color w:val="2B2B2B"/>
                <w:sz w:val="20"/>
                <w:szCs w:val="20"/>
              </w:rPr>
              <w:t xml:space="preserve">None — single SQLite file, in-process</w:t>
            </w:r>
          </w:p>
        </w:tc>
        <w:tc>
          <w:tcPr>
            <w:tcW w:type="dxa" w:w="1400"/>
            <w:shd w:fill="FFFFFF" w:val="clear"/>
            <w:tcMar>
              <w:top w:type="dxa" w:w="90"/>
              <w:left w:type="dxa" w:w="120"/>
              <w:bottom w:type="dxa" w:w="90"/>
              <w:right w:type="dxa" w:w="120"/>
            </w:tcMar>
            <w:vAlign w:val="center"/>
          </w:tcPr>
          <w:p>
            <w:r>
              <w:rPr>
                <w:color w:val="2B2B2B"/>
                <w:sz w:val="20"/>
                <w:szCs w:val="20"/>
              </w:rPr>
              <w:t xml:space="preserve">~150–300MB</w:t>
            </w:r>
          </w:p>
        </w:tc>
        <w:tc>
          <w:tcPr>
            <w:tcW w:type="dxa" w:w="1900"/>
            <w:shd w:fill="FFFFFF" w:val="clear"/>
            <w:tcMar>
              <w:top w:type="dxa" w:w="90"/>
              <w:left w:type="dxa" w:w="120"/>
              <w:bottom w:type="dxa" w:w="90"/>
              <w:right w:type="dxa" w:w="120"/>
            </w:tcMar>
            <w:vAlign w:val="center"/>
          </w:tcPr>
          <w:p>
            <w:r>
              <w:rPr>
                <w:color w:val="2B2B2B"/>
                <w:sz w:val="20"/>
                <w:szCs w:val="20"/>
              </w:rPr>
              <w:t xml:space="preserve">~15–25MB (facts + local embeddings)</w:t>
            </w:r>
          </w:p>
        </w:tc>
        <w:tc>
          <w:tcPr>
            <w:tcW w:type="dxa" w:w="1300"/>
            <w:shd w:fill="FFFFFF" w:val="clear"/>
            <w:tcMar>
              <w:top w:type="dxa" w:w="90"/>
              <w:left w:type="dxa" w:w="120"/>
              <w:bottom w:type="dxa" w:w="90"/>
              <w:right w:type="dxa" w:w="120"/>
            </w:tcMar>
            <w:vAlign w:val="center"/>
          </w:tcPr>
          <w:p>
            <w:r>
              <w:rPr>
                <w:color w:val="2B2B2B"/>
                <w:sz w:val="20"/>
                <w:szCs w:val="20"/>
              </w:rPr>
              <w:t xml:space="preserve">$0</w:t>
            </w:r>
          </w:p>
        </w:tc>
        <w:tc>
          <w:tcPr>
            <w:tcW w:type="dxa" w:w="1700"/>
            <w:shd w:fill="FFFFFF" w:val="clear"/>
            <w:tcMar>
              <w:top w:type="dxa" w:w="90"/>
              <w:left w:type="dxa" w:w="120"/>
              <w:bottom w:type="dxa" w:w="90"/>
              <w:right w:type="dxa" w:w="120"/>
            </w:tcMar>
            <w:vAlign w:val="center"/>
          </w:tcPr>
          <w:p>
            <w:r>
              <w:rPr>
                <w:color w:val="2B2B2B"/>
                <w:sz w:val="20"/>
                <w:szCs w:val="20"/>
              </w:rPr>
              <w:t xml:space="preserve">$0 embeddings + ~$0.02–$0.60 LLM extraction (model-dependent)</w:t>
            </w:r>
          </w:p>
        </w:tc>
      </w:tr>
      <w:tr>
        <w:tc>
          <w:tcPr>
            <w:tcW w:type="dxa" w:w="1400"/>
            <w:shd w:fill="F4F6F8" w:val="clear"/>
            <w:tcMar>
              <w:top w:type="dxa" w:w="90"/>
              <w:left w:type="dxa" w:w="120"/>
              <w:bottom w:type="dxa" w:w="90"/>
              <w:right w:type="dxa" w:w="120"/>
            </w:tcMar>
            <w:vAlign w:val="center"/>
          </w:tcPr>
          <w:p>
            <w:r>
              <w:rPr>
                <w:color w:val="2B2B2B"/>
                <w:sz w:val="20"/>
                <w:szCs w:val="20"/>
              </w:rPr>
              <w:t xml:space="preserve">Standard (opt-in)</w:t>
            </w:r>
          </w:p>
        </w:tc>
        <w:tc>
          <w:tcPr>
            <w:tcW w:type="dxa" w:w="2300"/>
            <w:shd w:fill="F4F6F8" w:val="clear"/>
            <w:tcMar>
              <w:top w:type="dxa" w:w="90"/>
              <w:left w:type="dxa" w:w="120"/>
              <w:bottom w:type="dxa" w:w="90"/>
              <w:right w:type="dxa" w:w="120"/>
            </w:tcMar>
            <w:vAlign w:val="center"/>
          </w:tcPr>
          <w:p>
            <w:r>
              <w:rPr>
                <w:color w:val="2B2B2B"/>
                <w:sz w:val="20"/>
                <w:szCs w:val="20"/>
              </w:rPr>
              <w:t xml:space="preserve">Managed Postgres+pgvector (e.g. Neon/Supabase)</w:t>
            </w:r>
          </w:p>
        </w:tc>
        <w:tc>
          <w:tcPr>
            <w:tcW w:type="dxa" w:w="1400"/>
            <w:shd w:fill="F4F6F8" w:val="clear"/>
            <w:tcMar>
              <w:top w:type="dxa" w:w="90"/>
              <w:left w:type="dxa" w:w="120"/>
              <w:bottom w:type="dxa" w:w="90"/>
              <w:right w:type="dxa" w:w="120"/>
            </w:tcMar>
            <w:vAlign w:val="center"/>
          </w:tcPr>
          <w:p>
            <w:r>
              <w:rPr>
                <w:color w:val="2B2B2B"/>
                <w:sz w:val="20"/>
                <w:szCs w:val="20"/>
              </w:rPr>
              <w:t xml:space="preserve">Similar client-side; DB load moves server-side</w:t>
            </w:r>
          </w:p>
        </w:tc>
        <w:tc>
          <w:tcPr>
            <w:tcW w:type="dxa" w:w="1900"/>
            <w:shd w:fill="F4F6F8" w:val="clear"/>
            <w:tcMar>
              <w:top w:type="dxa" w:w="90"/>
              <w:left w:type="dxa" w:w="120"/>
              <w:bottom w:type="dxa" w:w="90"/>
              <w:right w:type="dxa" w:w="120"/>
            </w:tcMar>
            <w:vAlign w:val="center"/>
          </w:tcPr>
          <w:p>
            <w:r>
              <w:rPr>
                <w:color w:val="2B2B2B"/>
                <w:sz w:val="20"/>
                <w:szCs w:val="20"/>
              </w:rPr>
              <w:t xml:space="preserve">Server-side</w:t>
            </w:r>
          </w:p>
        </w:tc>
        <w:tc>
          <w:tcPr>
            <w:tcW w:type="dxa" w:w="1300"/>
            <w:shd w:fill="F4F6F8" w:val="clear"/>
            <w:tcMar>
              <w:top w:type="dxa" w:w="90"/>
              <w:left w:type="dxa" w:w="120"/>
              <w:bottom w:type="dxa" w:w="90"/>
              <w:right w:type="dxa" w:w="120"/>
            </w:tcMar>
            <w:vAlign w:val="center"/>
          </w:tcPr>
          <w:p>
            <w:r>
              <w:rPr>
                <w:color w:val="2B2B2B"/>
                <w:sz w:val="20"/>
                <w:szCs w:val="20"/>
              </w:rPr>
              <w:t xml:space="preserve">$15–$25</w:t>
            </w:r>
          </w:p>
        </w:tc>
        <w:tc>
          <w:tcPr>
            <w:tcW w:type="dxa" w:w="1700"/>
            <w:shd w:fill="F4F6F8" w:val="clear"/>
            <w:tcMar>
              <w:top w:type="dxa" w:w="90"/>
              <w:left w:type="dxa" w:w="120"/>
              <w:bottom w:type="dxa" w:w="90"/>
              <w:right w:type="dxa" w:w="120"/>
            </w:tcMar>
            <w:vAlign w:val="center"/>
          </w:tcPr>
          <w:p>
            <w:r>
              <w:rPr>
                <w:color w:val="2B2B2B"/>
                <w:sz w:val="20"/>
                <w:szCs w:val="20"/>
              </w:rPr>
              <w:t xml:space="preserve">Same LLM cost; +$0.02/1M tokens if switched to API embeddings</w:t>
            </w:r>
          </w:p>
        </w:tc>
      </w:tr>
    </w:tbl>
    <w:p>
      <w:pPr>
        <w:spacing w:after="160"/>
      </w:pPr>
      <w:r>
        <w:rPr>
          <w:i/>
          <w:iCs/>
          <w:sz w:val="20"/>
          <w:szCs w:val="20"/>
        </w:rPr>
        <w:t xml:space="preserve">* Fact extraction is one LLM call per incoming message. At ~300 input + ~100 output tokens per call: GPT-4o-mini (~$0.15/1M in, $0.60/1M out) costs roughly $0.02 per 1,000 messages processed; a Sonnet-class model costs roughly $1.50 per 1,000 messages. Embedding cost is $0 on the local default and roughly $0.006 per 1,000 messages if switched to OpenAI’s text-embedding-3-small.</w:t>
      </w:r>
    </w:p>
    <w:p>
      <w:pPr>
        <w:pStyle w:val="Heading1"/>
        <w:spacing w:after="200" w:before="400"/>
      </w:pPr>
      <w:r>
        <w:rPr>
          <w:b/>
          <w:bCs/>
          <w:color w:val="1F3B57"/>
        </w:rPr>
        <w:t xml:space="preserve">Security</w:t>
      </w:r>
    </w:p>
    <w:p>
      <w:pPr>
        <w:pStyle w:val="ListParagraph"/>
        <w:numPr>
          <w:ilvl w:val="0"/>
          <w:numId w:val="2"/>
        </w:numPr>
        <w:spacing w:after="80"/>
      </w:pPr>
      <w:r>
        <w:t xml:space="preserve">Lite profile: all fact storage and embedding happens on the user’s machine; only the extraction prompt (message text) goes to whichever LLM provider is configured — same boundary as using that provider’s API directly.</w:t>
      </w:r>
    </w:p>
    <w:p>
      <w:pPr>
        <w:pStyle w:val="ListParagraph"/>
        <w:numPr>
          <w:ilvl w:val="0"/>
          <w:numId w:val="2"/>
        </w:numPr>
        <w:spacing w:after="80"/>
      </w:pPr>
      <w:r>
        <w:t xml:space="preserve">Memory Studio binds to localhost by default; exposing it externally requires an explicit flag and a warning.</w:t>
      </w:r>
    </w:p>
    <w:p>
      <w:pPr>
        <w:pStyle w:val="ListParagraph"/>
        <w:numPr>
          <w:ilvl w:val="0"/>
          <w:numId w:val="2"/>
        </w:numPr>
        <w:spacing w:after="80"/>
      </w:pPr>
      <w:r>
        <w:t xml:space="preserve">n8n node package documents clearly that it talks to a Memory SDK instance the user controls — it does not introduce a third-party hosted dependency.</w:t>
      </w:r>
    </w:p>
    <w:p>
      <w:pPr>
        <w:pStyle w:val="ListParagraph"/>
        <w:numPr>
          <w:ilvl w:val="0"/>
          <w:numId w:val="2"/>
        </w:numPr>
        <w:spacing w:after="80"/>
      </w:pPr>
      <w:r>
        <w:t xml:space="preserve">No PII-specific redaction is built in for v1 — flagged explicitly as a non-goal so it isn’t assumed to exist.</w:t>
      </w:r>
    </w:p>
    <w:p>
      <w:pPr>
        <w:pStyle w:val="Heading1"/>
        <w:spacing w:after="200" w:before="400"/>
      </w:pPr>
      <w:r>
        <w:rPr>
          <w:b/>
          <w:bCs/>
          <w:color w:val="1F3B57"/>
        </w:rPr>
        <w:t xml:space="preserve">Roadmap / Phases</w:t>
      </w:r>
    </w:p>
    <w:p>
      <w:pPr>
        <w:pStyle w:val="ListParagraph"/>
        <w:numPr>
          <w:ilvl w:val="0"/>
          <w:numId w:val="2"/>
        </w:numPr>
        <w:spacing w:after="80"/>
      </w:pPr>
      <w:r>
        <w:t xml:space="preserve">Phase 0 — Core pipeline: classification, extraction, SQLite storage, local embeddings, memory.save / memory.retrieve.</w:t>
      </w:r>
    </w:p>
    <w:p>
      <w:pPr>
        <w:pStyle w:val="ListParagraph"/>
        <w:numPr>
          <w:ilvl w:val="0"/>
          <w:numId w:val="2"/>
        </w:numPr>
        <w:spacing w:after="80"/>
      </w:pPr>
      <w:r>
        <w:t xml:space="preserve">Phase 1 — Conflict resolution + importance scoring + time decay.</w:t>
      </w:r>
    </w:p>
    <w:p>
      <w:pPr>
        <w:pStyle w:val="ListParagraph"/>
        <w:numPr>
          <w:ilvl w:val="0"/>
          <w:numId w:val="2"/>
        </w:numPr>
        <w:spacing w:after="80"/>
      </w:pPr>
      <w:r>
        <w:t xml:space="preserve">Phase 2 — Memory Studio (local web UI): timeline, edit, pin, delete.</w:t>
      </w:r>
    </w:p>
    <w:p>
      <w:pPr>
        <w:pStyle w:val="ListParagraph"/>
        <w:numPr>
          <w:ilvl w:val="0"/>
          <w:numId w:val="2"/>
        </w:numPr>
        <w:spacing w:after="80"/>
      </w:pPr>
      <w:r>
        <w:t xml:space="preserve">Phase 3 — n8n community node package: Save / Retrieve / Search / Forget, published and documented.</w:t>
      </w:r>
    </w:p>
    <w:p>
      <w:pPr>
        <w:pStyle w:val="ListParagraph"/>
        <w:numPr>
          <w:ilvl w:val="0"/>
          <w:numId w:val="2"/>
        </w:numPr>
        <w:spacing w:after="80"/>
      </w:pPr>
      <w:r>
        <w:t xml:space="preserve">Phase 4 (stretch) — Postgres+pgvector Standard tier; TypeScript SDK.</w:t>
      </w:r>
    </w:p>
    <w:p>
      <w:pPr>
        <w:pStyle w:val="Heading1"/>
        <w:spacing w:after="200" w:before="400"/>
      </w:pPr>
      <w:r>
        <w:rPr>
          <w:b/>
          <w:bCs/>
          <w:color w:val="1F3B57"/>
        </w:rPr>
        <w:t xml:space="preserve">Repo / Project Structure</w:t>
      </w:r>
    </w:p>
    <w:p>
      <w:pPr>
        <w:pStyle w:val="ListParagraph"/>
        <w:numPr>
          <w:ilvl w:val="0"/>
          <w:numId w:val="2"/>
        </w:numPr>
        <w:spacing w:after="80"/>
      </w:pPr>
      <w:r>
        <w:t xml:space="preserve">sdk/ — Python package (pipeline, storage adapters, retrieval)</w:t>
      </w:r>
    </w:p>
    <w:p>
      <w:pPr>
        <w:pStyle w:val="ListParagraph"/>
        <w:numPr>
          <w:ilvl w:val="0"/>
          <w:numId w:val="2"/>
        </w:numPr>
        <w:spacing w:after="80"/>
      </w:pPr>
      <w:r>
        <w:t xml:space="preserve">server/ — small HTTP API used by the n8n node and Memory Studio</w:t>
      </w:r>
    </w:p>
    <w:p>
      <w:pPr>
        <w:pStyle w:val="ListParagraph"/>
        <w:numPr>
          <w:ilvl w:val="0"/>
          <w:numId w:val="2"/>
        </w:numPr>
        <w:spacing w:after="80"/>
      </w:pPr>
      <w:r>
        <w:t xml:space="preserve">studio/ — local web UI</w:t>
      </w:r>
    </w:p>
    <w:p>
      <w:pPr>
        <w:pStyle w:val="ListParagraph"/>
        <w:numPr>
          <w:ilvl w:val="0"/>
          <w:numId w:val="2"/>
        </w:numPr>
        <w:spacing w:after="80"/>
      </w:pPr>
      <w:r>
        <w:t xml:space="preserve">n8n-community-node/ — npm package with the four node types</w:t>
      </w:r>
    </w:p>
    <w:p>
      <w:pPr>
        <w:pStyle w:val="ListParagraph"/>
        <w:numPr>
          <w:ilvl w:val="0"/>
          <w:numId w:val="2"/>
        </w:numPr>
        <w:spacing w:after="80"/>
      </w:pPr>
      <w:r>
        <w:t xml:space="preserve">examples/</w:t>
      </w:r>
    </w:p>
    <w:p>
      <w:pPr>
        <w:pStyle w:val="ListParagraph"/>
        <w:numPr>
          <w:ilvl w:val="0"/>
          <w:numId w:val="2"/>
        </w:numPr>
        <w:spacing w:after="80"/>
      </w:pPr>
      <w:r>
        <w:t xml:space="preserve">docs/</w:t>
      </w:r>
    </w:p>
    <w:p>
      <w:pPr>
        <w:pStyle w:val="ListParagraph"/>
        <w:numPr>
          <w:ilvl w:val="0"/>
          <w:numId w:val="2"/>
        </w:numPr>
        <w:spacing w:after="80"/>
      </w:pPr>
      <w:r>
        <w:t xml:space="preserve">docker-compose.yml — optional, Standard tier only</w:t>
      </w:r>
    </w:p>
    <w:p>
      <w:pPr>
        <w:pStyle w:val="Heading1"/>
        <w:spacing w:after="200" w:before="400"/>
      </w:pPr>
      <w:r>
        <w:rPr>
          <w:b/>
          <w:bCs/>
          <w:color w:val="1F3B57"/>
        </w:rPr>
        <w:t xml:space="preserve">Closing Guiding Principle</w:t>
      </w:r>
    </w:p>
    <w:tbl>
      <w:tblPr>
        <w:tblW w:type="pct" w:w="100%"/>
        <w:tblBorders>
          <w:top w:val="single" w:color="2E5C8A" w:sz="2"/>
          <w:left w:val="single" w:color="2E5C8A" w:sz="24"/>
          <w:bottom w:val="single" w:color="2E5C8A" w:sz="2"/>
          <w:right w:val="single" w:color="2E5C8A" w:sz="2"/>
          <w:insideH w:val="none" w:color="FFFFFF" w:sz="0"/>
          <w:insideV w:val="none" w:color="FFFFFF" w:sz="0"/>
        </w:tblBorders>
      </w:tblPr>
      <w:tblGrid>
        <w:gridCol w:w="100"/>
      </w:tblGrid>
      <w:tr>
        <w:tc>
          <w:tcPr>
            <w:shd w:fill="EAF1FA" w:val="clear"/>
            <w:tcMar>
              <w:top w:type="dxa" w:w="140"/>
              <w:left w:type="dxa" w:w="200"/>
              <w:bottom w:type="dxa" w:w="140"/>
              <w:right w:type="dxa" w:w="200"/>
            </w:tcMar>
          </w:tcPr>
          <w:p>
            <w:pPr>
              <w:spacing w:after="60"/>
            </w:pPr>
            <w:r>
              <w:rPr>
                <w:b/>
                <w:bCs/>
                <w:color w:val="2E5C8A"/>
                <w:sz w:val="20"/>
                <w:szCs w:val="20"/>
              </w:rPr>
              <w:t xml:space="preserve">If scope pressure builds…</w:t>
            </w:r>
          </w:p>
          <w:p>
            <w:r>
              <w:rPr>
                <w:color w:val="2B2B2B"/>
                <w:sz w:val="21"/>
                <w:szCs w:val="21"/>
              </w:rPr>
              <w:t xml:space="preserve">remember the pitch is not "as accurate as Zep" or "as complete as Letta" — it is "runs on your laptop, costs nothing, and has a real n8n node." Every feature request that requires a cloud service by default, or that chases a benchmark number against Mem0/Zep, is scope creep away from the one differentiator this project can actually defend.</w:t>
            </w:r>
          </w:p>
        </w:tc>
      </w:tr>
    </w:tbl>
    <w:sectPr>
      <w:footerReference w:type="default" r:id="rId7"/>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Memory SDK  –  page </w:t>
    </w:r>
    <w:r>
      <w:rPr>
        <w:color w:val="4454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2026-07-16T20:54:38.292Z</dcterms:created>
  <dcterms:modified xsi:type="dcterms:W3CDTF">2026-07-16T20:54:38.305Z</dcterms:modified>
</cp:coreProperties>
</file>

<file path=docProps/custom.xml><?xml version="1.0" encoding="utf-8"?>
<Properties xmlns="http://schemas.openxmlformats.org/officeDocument/2006/custom-properties" xmlns:vt="http://schemas.openxmlformats.org/officeDocument/2006/docPropsVTypes"/>
</file>