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Hatfield Technologies Ltd</w:t>
      </w:r>
    </w:p>
    <w:p>
      <w:r>
        <w:t>Synthetic Dataset — Academic RAG Prototype</w:t>
      </w:r>
    </w:p>
    <w:p>
      <w:pPr>
        <w:pStyle w:val="Heading2"/>
      </w:pPr>
      <w:r>
        <w:t>Disciplinary Procedure</w:t>
      </w:r>
    </w:p>
    <w:p>
      <w:pPr>
        <w:pStyle w:val="Heading2"/>
      </w:pPr>
      <w:r>
        <w:t>Purpose</w:t>
      </w:r>
    </w:p>
    <w:p>
      <w:r>
        <w:t>This procedure explains how potential misconduct or serious breaches of company requirements may be handled.</w:t>
      </w:r>
    </w:p>
    <w:p>
      <w:pPr>
        <w:pStyle w:val="Heading2"/>
      </w:pPr>
      <w:r>
        <w:t>Informal resolution</w:t>
      </w:r>
    </w:p>
    <w:p>
      <w:r>
        <w:t>Where appropriate, minor concerns may be addressed informally through discussion, clarification of expectations, coaching or additional support.</w:t>
      </w:r>
    </w:p>
    <w:p>
      <w:pPr>
        <w:pStyle w:val="Heading2"/>
      </w:pPr>
      <w:r>
        <w:t>Formal process</w:t>
      </w:r>
    </w:p>
    <w:p>
      <w:r>
        <w:t>Where a formal process is appropriate, the employee will normally be informed of the concern and given an opportunity to respond. Relevant evidence may be reviewed before a decision is made.</w:t>
      </w:r>
    </w:p>
    <w:p>
      <w:pPr>
        <w:pStyle w:val="Heading2"/>
      </w:pPr>
      <w:r>
        <w:t>Meetings</w:t>
      </w:r>
    </w:p>
    <w:p>
      <w:r>
        <w:t>Employees will normally be given reasonable notice of formal meetings and information about the matter being considered.</w:t>
      </w:r>
    </w:p>
    <w:p>
      <w:pPr>
        <w:pStyle w:val="Heading2"/>
      </w:pPr>
      <w:r>
        <w:t>Outcomes</w:t>
      </w:r>
    </w:p>
    <w:p>
      <w:r>
        <w:t>Possible outcomes depend on the circumstances and may include no further action, a written warning, a final written warning, or termination of employment where justified.</w:t>
      </w:r>
    </w:p>
    <w:p>
      <w:pPr>
        <w:pStyle w:val="Heading2"/>
      </w:pPr>
      <w:r>
        <w:t>Appeals</w:t>
      </w:r>
    </w:p>
    <w:p>
      <w:r>
        <w:t>Employees may have a right to appeal a formal disciplinary outcome. The appeal should follow the instructions provided with the outcome.</w:t>
      </w:r>
    </w:p>
    <w:p>
      <w:pPr>
        <w:pStyle w:val="Heading2"/>
      </w:pPr>
      <w:r>
        <w:t>Confidentiality</w:t>
      </w:r>
    </w:p>
    <w:p>
      <w:r>
        <w:t>Employees should treat disciplinary matters as confidential and avoid sharing sensitive information unnecessarily.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